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9B21" w14:textId="77777777" w:rsidR="00AE3B20" w:rsidRDefault="00E03429">
      <w:pPr>
        <w:suppressAutoHyphens/>
        <w:spacing w:after="240"/>
        <w:jc w:val="center"/>
        <w:rPr>
          <w:szCs w:val="22"/>
        </w:rPr>
      </w:pPr>
      <w:r>
        <w:rPr>
          <w:szCs w:val="22"/>
        </w:rPr>
        <w:t xml:space="preserve">NOTICE OF </w:t>
      </w:r>
      <w:r w:rsidR="002B2A6C">
        <w:rPr>
          <w:szCs w:val="22"/>
        </w:rPr>
        <w:t xml:space="preserve">WATER </w:t>
      </w:r>
      <w:r>
        <w:rPr>
          <w:szCs w:val="22"/>
        </w:rPr>
        <w:t>RATE INCREASE AND PUBLIC HEARING</w:t>
      </w:r>
    </w:p>
    <w:p w14:paraId="72C01641" w14:textId="77777777" w:rsidR="00AE3B20" w:rsidRDefault="00E03429">
      <w:pPr>
        <w:pStyle w:val="BodyTextFirst5"/>
        <w:rPr>
          <w:szCs w:val="22"/>
        </w:rPr>
      </w:pPr>
      <w:r>
        <w:rPr>
          <w:szCs w:val="22"/>
        </w:rPr>
        <w:t xml:space="preserve">NOTICE IS HEREBY GIVEN that on </w:t>
      </w:r>
      <w:r w:rsidR="003056D0">
        <w:rPr>
          <w:szCs w:val="22"/>
        </w:rPr>
        <w:t>February 14, 2023</w:t>
      </w:r>
      <w:r>
        <w:rPr>
          <w:szCs w:val="22"/>
        </w:rPr>
        <w:t xml:space="preserve">, the City Council (the “Council”) of the City of Harlowton, Montana (the “City”), adopted a Resolution of Intention of the City of Harlowton, Montana to Increase Rates for the Users of the City’s </w:t>
      </w:r>
      <w:r w:rsidR="001E308E">
        <w:t>W</w:t>
      </w:r>
      <w:r>
        <w:t xml:space="preserve">ater </w:t>
      </w:r>
      <w:r w:rsidR="001E308E">
        <w:t>S</w:t>
      </w:r>
      <w:r>
        <w:t>ystem (the “System”)</w:t>
      </w:r>
      <w:r>
        <w:rPr>
          <w:szCs w:val="22"/>
        </w:rPr>
        <w:t>.</w:t>
      </w:r>
    </w:p>
    <w:p w14:paraId="4E22B093" w14:textId="77777777" w:rsidR="00AE3B20" w:rsidRDefault="00E03429">
      <w:pPr>
        <w:pStyle w:val="BodyTextFirst5"/>
        <w:rPr>
          <w:szCs w:val="22"/>
        </w:rPr>
      </w:pPr>
      <w:r>
        <w:t>The City currently charges a m</w:t>
      </w:r>
      <w:r>
        <w:t>onthly water charge for the use and availability of the System, consisting of a base rate for connection to the system</w:t>
      </w:r>
      <w:r w:rsidR="00D236CC">
        <w:t>, based on the equivalent dwelling unit (“EDU”) system</w:t>
      </w:r>
      <w:r>
        <w:t xml:space="preserve"> (the “Base Rate”)</w:t>
      </w:r>
      <w:r w:rsidR="00D236CC">
        <w:t>,</w:t>
      </w:r>
      <w:r>
        <w:t xml:space="preserve"> and a usage charge (the “Usage Charge”) for use of the System.</w:t>
      </w:r>
      <w:r>
        <w:rPr>
          <w:szCs w:val="22"/>
        </w:rPr>
        <w:t xml:space="preserve">  </w:t>
      </w:r>
      <w:r>
        <w:rPr>
          <w:szCs w:val="22"/>
        </w:rPr>
        <w:t xml:space="preserve">The current Base Rate for each service connection size is as follows:  </w:t>
      </w:r>
    </w:p>
    <w:tbl>
      <w:tblPr>
        <w:tblW w:w="0" w:type="auto"/>
        <w:jc w:val="center"/>
        <w:tblLook w:val="07E0" w:firstRow="1" w:lastRow="1" w:firstColumn="1" w:lastColumn="1" w:noHBand="1" w:noVBand="1"/>
      </w:tblPr>
      <w:tblGrid>
        <w:gridCol w:w="2446"/>
        <w:gridCol w:w="1457"/>
        <w:gridCol w:w="1239"/>
      </w:tblGrid>
      <w:tr w:rsidR="008900E5" w14:paraId="7FEEDA40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23DCE613" w14:textId="77777777" w:rsidR="003056D0" w:rsidRPr="001D32D1" w:rsidRDefault="00E03429" w:rsidP="006E72C2">
            <w:pPr>
              <w:jc w:val="center"/>
            </w:pPr>
            <w:r w:rsidRPr="001D32D1">
              <w:rPr>
                <w:u w:val="single"/>
              </w:rPr>
              <w:t>Diameter of Service Line</w:t>
            </w:r>
          </w:p>
        </w:tc>
        <w:tc>
          <w:tcPr>
            <w:tcW w:w="1457" w:type="dxa"/>
          </w:tcPr>
          <w:p w14:paraId="6C73253E" w14:textId="77777777" w:rsidR="003056D0" w:rsidRPr="001D32D1" w:rsidRDefault="00E03429" w:rsidP="006E72C2">
            <w:pPr>
              <w:ind w:left="19"/>
              <w:jc w:val="center"/>
            </w:pPr>
            <w:r>
              <w:rPr>
                <w:u w:val="single"/>
              </w:rPr>
              <w:t>Multiplier</w:t>
            </w:r>
          </w:p>
        </w:tc>
        <w:tc>
          <w:tcPr>
            <w:tcW w:w="1045" w:type="dxa"/>
          </w:tcPr>
          <w:p w14:paraId="18689A29" w14:textId="77777777" w:rsidR="003056D0" w:rsidRPr="001D32D1" w:rsidRDefault="00E03429" w:rsidP="006E72C2">
            <w:pPr>
              <w:ind w:left="19"/>
              <w:jc w:val="center"/>
            </w:pPr>
            <w:r w:rsidRPr="001D32D1">
              <w:rPr>
                <w:u w:val="single"/>
              </w:rPr>
              <w:t>Base Rate</w:t>
            </w:r>
          </w:p>
        </w:tc>
      </w:tr>
      <w:tr w:rsidR="008900E5" w14:paraId="62D2ED43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0937D4C5" w14:textId="77777777" w:rsidR="003056D0" w:rsidRPr="001D32D1" w:rsidRDefault="00E03429" w:rsidP="006E72C2">
            <w:pPr>
              <w:jc w:val="center"/>
            </w:pPr>
            <w:r>
              <w:t>¾”</w:t>
            </w:r>
          </w:p>
        </w:tc>
        <w:tc>
          <w:tcPr>
            <w:tcW w:w="1457" w:type="dxa"/>
          </w:tcPr>
          <w:p w14:paraId="3DEA456F" w14:textId="77777777" w:rsidR="003056D0" w:rsidRPr="004F4460" w:rsidRDefault="00E03429" w:rsidP="006E72C2">
            <w:pPr>
              <w:jc w:val="center"/>
            </w:pPr>
            <w:r w:rsidRPr="004F4460">
              <w:t>1</w:t>
            </w:r>
          </w:p>
        </w:tc>
        <w:tc>
          <w:tcPr>
            <w:tcW w:w="1045" w:type="dxa"/>
          </w:tcPr>
          <w:p w14:paraId="5F76922F" w14:textId="77777777" w:rsidR="003056D0" w:rsidRPr="00A13377" w:rsidRDefault="00E03429" w:rsidP="006E72C2">
            <w:pPr>
              <w:tabs>
                <w:tab w:val="left" w:pos="661"/>
                <w:tab w:val="left" w:pos="1201"/>
              </w:tabs>
              <w:ind w:left="147" w:right="270"/>
              <w:jc w:val="right"/>
            </w:pPr>
            <w:r>
              <w:t>$37.70</w:t>
            </w:r>
          </w:p>
        </w:tc>
      </w:tr>
      <w:tr w:rsidR="008900E5" w14:paraId="5D16FF9E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50E51B86" w14:textId="77777777" w:rsidR="003056D0" w:rsidRPr="004F4460" w:rsidRDefault="00E03429" w:rsidP="006E72C2">
            <w:pPr>
              <w:jc w:val="center"/>
            </w:pPr>
            <w:r w:rsidRPr="004F4460">
              <w:t>1"</w:t>
            </w:r>
          </w:p>
        </w:tc>
        <w:tc>
          <w:tcPr>
            <w:tcW w:w="1457" w:type="dxa"/>
          </w:tcPr>
          <w:p w14:paraId="005DCB03" w14:textId="77777777" w:rsidR="003056D0" w:rsidRPr="004F4460" w:rsidRDefault="00E03429" w:rsidP="006E72C2">
            <w:pPr>
              <w:jc w:val="center"/>
            </w:pPr>
            <w:r w:rsidRPr="004F4460">
              <w:t>1.79</w:t>
            </w:r>
          </w:p>
        </w:tc>
        <w:tc>
          <w:tcPr>
            <w:tcW w:w="1045" w:type="dxa"/>
            <w:vAlign w:val="center"/>
          </w:tcPr>
          <w:p w14:paraId="2941D1B6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left="147" w:right="270"/>
              <w:jc w:val="right"/>
            </w:pPr>
            <w:r>
              <w:t>67.48</w:t>
            </w:r>
          </w:p>
        </w:tc>
      </w:tr>
      <w:tr w:rsidR="008900E5" w14:paraId="54E2DCF7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56594A15" w14:textId="77777777" w:rsidR="003056D0" w:rsidRPr="004F4460" w:rsidRDefault="00E03429" w:rsidP="006E72C2">
            <w:pPr>
              <w:jc w:val="center"/>
            </w:pPr>
            <w:r w:rsidRPr="004F4460">
              <w:t>1</w:t>
            </w:r>
            <w:r>
              <w:t xml:space="preserve"> ½”</w:t>
            </w:r>
          </w:p>
        </w:tc>
        <w:tc>
          <w:tcPr>
            <w:tcW w:w="1457" w:type="dxa"/>
          </w:tcPr>
          <w:p w14:paraId="3A7BE0DF" w14:textId="77777777" w:rsidR="003056D0" w:rsidRPr="004F4460" w:rsidRDefault="00E03429" w:rsidP="006E72C2">
            <w:pPr>
              <w:jc w:val="center"/>
            </w:pPr>
            <w:r w:rsidRPr="004F4460">
              <w:t>4</w:t>
            </w:r>
          </w:p>
        </w:tc>
        <w:tc>
          <w:tcPr>
            <w:tcW w:w="1045" w:type="dxa"/>
            <w:vAlign w:val="center"/>
          </w:tcPr>
          <w:p w14:paraId="3D6E8B4D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left="147" w:right="270"/>
              <w:jc w:val="right"/>
            </w:pPr>
            <w:r>
              <w:t>150.80</w:t>
            </w:r>
          </w:p>
        </w:tc>
      </w:tr>
      <w:tr w:rsidR="008900E5" w14:paraId="73CF8BBA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1E43E153" w14:textId="77777777" w:rsidR="003056D0" w:rsidRPr="004F4460" w:rsidRDefault="00E03429" w:rsidP="006E72C2">
            <w:pPr>
              <w:jc w:val="center"/>
            </w:pPr>
            <w:r w:rsidRPr="004F4460">
              <w:t>2"</w:t>
            </w:r>
          </w:p>
        </w:tc>
        <w:tc>
          <w:tcPr>
            <w:tcW w:w="1457" w:type="dxa"/>
          </w:tcPr>
          <w:p w14:paraId="2D27EEB7" w14:textId="77777777" w:rsidR="003056D0" w:rsidRPr="004F4460" w:rsidRDefault="00E03429" w:rsidP="006E72C2">
            <w:pPr>
              <w:jc w:val="center"/>
            </w:pPr>
            <w:r w:rsidRPr="004F4460">
              <w:t>7.14</w:t>
            </w:r>
          </w:p>
        </w:tc>
        <w:tc>
          <w:tcPr>
            <w:tcW w:w="1045" w:type="dxa"/>
            <w:vAlign w:val="center"/>
          </w:tcPr>
          <w:p w14:paraId="6FFDB9D8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left="147" w:right="270"/>
              <w:jc w:val="right"/>
            </w:pPr>
            <w:r>
              <w:t>269.17</w:t>
            </w:r>
          </w:p>
        </w:tc>
      </w:tr>
    </w:tbl>
    <w:p w14:paraId="7C304CF0" w14:textId="77777777" w:rsidR="00AE3B20" w:rsidRDefault="00E03429" w:rsidP="00BB47C0">
      <w:pPr>
        <w:pStyle w:val="Heading2"/>
        <w:numPr>
          <w:ilvl w:val="0"/>
          <w:numId w:val="0"/>
        </w:numPr>
        <w:rPr>
          <w:b w:val="0"/>
          <w:szCs w:val="22"/>
        </w:rPr>
      </w:pPr>
      <w:r>
        <w:rPr>
          <w:b w:val="0"/>
          <w:szCs w:val="22"/>
        </w:rPr>
        <w:tab/>
      </w:r>
      <w:r w:rsidRPr="00BB47C0">
        <w:rPr>
          <w:b w:val="0"/>
          <w:szCs w:val="22"/>
        </w:rPr>
        <w:t xml:space="preserve">In </w:t>
      </w:r>
      <w:r w:rsidR="00D236CC">
        <w:rPr>
          <w:b w:val="0"/>
          <w:szCs w:val="22"/>
        </w:rPr>
        <w:t>addition to the Base Rate</w:t>
      </w:r>
      <w:r w:rsidRPr="00BB47C0">
        <w:rPr>
          <w:b w:val="0"/>
          <w:szCs w:val="22"/>
        </w:rPr>
        <w:t xml:space="preserve">, the City charges a monthly water </w:t>
      </w:r>
      <w:r>
        <w:rPr>
          <w:b w:val="0"/>
          <w:szCs w:val="22"/>
        </w:rPr>
        <w:t>Usage C</w:t>
      </w:r>
      <w:r w:rsidRPr="00BB47C0">
        <w:rPr>
          <w:b w:val="0"/>
          <w:szCs w:val="22"/>
        </w:rPr>
        <w:t>harge of $1.00 per 1</w:t>
      </w:r>
      <w:r w:rsidR="00D236CC">
        <w:rPr>
          <w:b w:val="0"/>
          <w:szCs w:val="22"/>
        </w:rPr>
        <w:t>,</w:t>
      </w:r>
      <w:r w:rsidRPr="00BB47C0">
        <w:rPr>
          <w:b w:val="0"/>
          <w:szCs w:val="22"/>
        </w:rPr>
        <w:t>000 gallons consumed, per connection, or proportionate charge for gallons of water consumed in excess of any 1</w:t>
      </w:r>
      <w:r w:rsidR="00D236CC">
        <w:rPr>
          <w:b w:val="0"/>
          <w:szCs w:val="22"/>
        </w:rPr>
        <w:t>,</w:t>
      </w:r>
      <w:r w:rsidRPr="00BB47C0">
        <w:rPr>
          <w:b w:val="0"/>
          <w:szCs w:val="22"/>
        </w:rPr>
        <w:t>000 gallon increment</w:t>
      </w:r>
      <w:r>
        <w:rPr>
          <w:b w:val="0"/>
          <w:szCs w:val="22"/>
        </w:rPr>
        <w:t xml:space="preserve">. </w:t>
      </w:r>
    </w:p>
    <w:p w14:paraId="64048274" w14:textId="77777777" w:rsidR="00AE3B20" w:rsidRDefault="00E03429" w:rsidP="00BB47C0">
      <w:pPr>
        <w:pStyle w:val="Heading2"/>
        <w:numPr>
          <w:ilvl w:val="0"/>
          <w:numId w:val="0"/>
        </w:numPr>
        <w:ind w:firstLine="720"/>
        <w:rPr>
          <w:b w:val="0"/>
          <w:szCs w:val="22"/>
        </w:rPr>
      </w:pPr>
      <w:r>
        <w:rPr>
          <w:b w:val="0"/>
          <w:szCs w:val="22"/>
        </w:rPr>
        <w:t>E</w:t>
      </w:r>
      <w:r>
        <w:rPr>
          <w:b w:val="0"/>
          <w:szCs w:val="24"/>
        </w:rPr>
        <w:t>ffective as of the</w:t>
      </w:r>
      <w:r w:rsidR="00D236CC">
        <w:rPr>
          <w:b w:val="0"/>
          <w:szCs w:val="24"/>
        </w:rPr>
        <w:t xml:space="preserve"> </w:t>
      </w:r>
      <w:r w:rsidR="003056D0">
        <w:rPr>
          <w:b w:val="0"/>
          <w:szCs w:val="24"/>
        </w:rPr>
        <w:t>April 2023</w:t>
      </w:r>
      <w:r>
        <w:rPr>
          <w:b w:val="0"/>
          <w:szCs w:val="24"/>
        </w:rPr>
        <w:t xml:space="preserve"> billing</w:t>
      </w:r>
      <w:r>
        <w:rPr>
          <w:b w:val="0"/>
          <w:szCs w:val="22"/>
        </w:rPr>
        <w:t xml:space="preserve">, the </w:t>
      </w:r>
      <w:r w:rsidR="00D236CC">
        <w:rPr>
          <w:b w:val="0"/>
          <w:szCs w:val="22"/>
        </w:rPr>
        <w:t>City proposes to increase the</w:t>
      </w:r>
      <w:r>
        <w:rPr>
          <w:b w:val="0"/>
          <w:szCs w:val="22"/>
        </w:rPr>
        <w:t xml:space="preserve"> Base Rate </w:t>
      </w:r>
      <w:r w:rsidR="00D236CC">
        <w:rPr>
          <w:b w:val="0"/>
          <w:szCs w:val="22"/>
        </w:rPr>
        <w:t>by $</w:t>
      </w:r>
      <w:r w:rsidR="003056D0">
        <w:rPr>
          <w:b w:val="0"/>
          <w:szCs w:val="22"/>
        </w:rPr>
        <w:t>1.0</w:t>
      </w:r>
      <w:r w:rsidR="00D236CC">
        <w:rPr>
          <w:b w:val="0"/>
          <w:szCs w:val="22"/>
        </w:rPr>
        <w:t>0 per EDU</w:t>
      </w:r>
      <w:r>
        <w:rPr>
          <w:b w:val="0"/>
          <w:szCs w:val="22"/>
        </w:rPr>
        <w:t>, as follows:</w:t>
      </w:r>
    </w:p>
    <w:tbl>
      <w:tblPr>
        <w:tblW w:w="0" w:type="auto"/>
        <w:jc w:val="center"/>
        <w:tblLook w:val="07E0" w:firstRow="1" w:lastRow="1" w:firstColumn="1" w:lastColumn="1" w:noHBand="1" w:noVBand="1"/>
      </w:tblPr>
      <w:tblGrid>
        <w:gridCol w:w="1035"/>
        <w:gridCol w:w="1128"/>
        <w:gridCol w:w="2076"/>
      </w:tblGrid>
      <w:tr w:rsidR="008900E5" w14:paraId="472C0E26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1C0D924E" w14:textId="77777777" w:rsidR="003056D0" w:rsidRPr="001D32D1" w:rsidRDefault="00E03429" w:rsidP="006E72C2">
            <w:pPr>
              <w:jc w:val="center"/>
            </w:pPr>
            <w:r w:rsidRPr="001D32D1">
              <w:rPr>
                <w:u w:val="single"/>
              </w:rPr>
              <w:t xml:space="preserve">Diameter </w:t>
            </w:r>
          </w:p>
        </w:tc>
        <w:tc>
          <w:tcPr>
            <w:tcW w:w="0" w:type="auto"/>
          </w:tcPr>
          <w:p w14:paraId="4FB27EF8" w14:textId="77777777" w:rsidR="003056D0" w:rsidRPr="001D32D1" w:rsidRDefault="00E03429" w:rsidP="006E72C2">
            <w:pPr>
              <w:ind w:left="19"/>
              <w:jc w:val="center"/>
            </w:pPr>
            <w:r>
              <w:rPr>
                <w:u w:val="single"/>
              </w:rPr>
              <w:t>Multiplier</w:t>
            </w:r>
          </w:p>
        </w:tc>
        <w:tc>
          <w:tcPr>
            <w:tcW w:w="0" w:type="auto"/>
          </w:tcPr>
          <w:p w14:paraId="0DBDD89F" w14:textId="77777777" w:rsidR="003056D0" w:rsidRPr="001D32D1" w:rsidRDefault="00E03429" w:rsidP="006E72C2">
            <w:pPr>
              <w:ind w:left="19"/>
              <w:jc w:val="center"/>
            </w:pPr>
            <w:r>
              <w:rPr>
                <w:u w:val="single"/>
              </w:rPr>
              <w:t>Proposed</w:t>
            </w:r>
            <w:r w:rsidRPr="001D32D1">
              <w:rPr>
                <w:u w:val="single"/>
              </w:rPr>
              <w:t xml:space="preserve"> Base Rate</w:t>
            </w:r>
          </w:p>
        </w:tc>
      </w:tr>
      <w:tr w:rsidR="008900E5" w14:paraId="5418B34E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00279F1A" w14:textId="77777777" w:rsidR="003056D0" w:rsidRPr="001D32D1" w:rsidRDefault="00E03429" w:rsidP="006E72C2">
            <w:pPr>
              <w:jc w:val="center"/>
            </w:pPr>
            <w:r>
              <w:t>¾”</w:t>
            </w:r>
          </w:p>
        </w:tc>
        <w:tc>
          <w:tcPr>
            <w:tcW w:w="0" w:type="auto"/>
            <w:vAlign w:val="bottom"/>
          </w:tcPr>
          <w:p w14:paraId="0B0F4D04" w14:textId="77777777" w:rsidR="003056D0" w:rsidRPr="006E1E08" w:rsidRDefault="00E03429" w:rsidP="006E72C2">
            <w:pPr>
              <w:jc w:val="center"/>
            </w:pPr>
            <w:r w:rsidRPr="006E1E08">
              <w:t>1.00</w:t>
            </w:r>
          </w:p>
        </w:tc>
        <w:tc>
          <w:tcPr>
            <w:tcW w:w="0" w:type="auto"/>
          </w:tcPr>
          <w:p w14:paraId="650A3824" w14:textId="77777777" w:rsidR="003056D0" w:rsidRPr="00A13377" w:rsidRDefault="00E03429" w:rsidP="006E72C2">
            <w:pPr>
              <w:tabs>
                <w:tab w:val="left" w:pos="661"/>
                <w:tab w:val="left" w:pos="1201"/>
              </w:tabs>
              <w:ind w:left="147" w:right="558"/>
              <w:jc w:val="right"/>
            </w:pPr>
            <w:r>
              <w:t xml:space="preserve">        </w:t>
            </w:r>
            <w:r w:rsidRPr="00A13377">
              <w:t>$</w:t>
            </w:r>
            <w:r>
              <w:t>38.70</w:t>
            </w:r>
          </w:p>
        </w:tc>
      </w:tr>
      <w:tr w:rsidR="008900E5" w14:paraId="060E3169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52A39A04" w14:textId="77777777" w:rsidR="003056D0" w:rsidRPr="004F4460" w:rsidRDefault="00E03429" w:rsidP="006E72C2">
            <w:pPr>
              <w:jc w:val="center"/>
            </w:pPr>
            <w:r w:rsidRPr="004F4460">
              <w:t>1"</w:t>
            </w:r>
          </w:p>
        </w:tc>
        <w:tc>
          <w:tcPr>
            <w:tcW w:w="0" w:type="auto"/>
            <w:vAlign w:val="bottom"/>
          </w:tcPr>
          <w:p w14:paraId="69586DC2" w14:textId="77777777" w:rsidR="003056D0" w:rsidRPr="006E1E08" w:rsidRDefault="00E03429" w:rsidP="006E72C2">
            <w:pPr>
              <w:jc w:val="center"/>
            </w:pPr>
            <w:r w:rsidRPr="006E1E08">
              <w:t>1.79</w:t>
            </w:r>
          </w:p>
        </w:tc>
        <w:tc>
          <w:tcPr>
            <w:tcW w:w="0" w:type="auto"/>
            <w:vAlign w:val="center"/>
          </w:tcPr>
          <w:p w14:paraId="0077914F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left="147" w:right="558"/>
              <w:jc w:val="right"/>
            </w:pPr>
            <w:r>
              <w:t xml:space="preserve">        </w:t>
            </w:r>
            <w:r w:rsidRPr="00A13377">
              <w:t>$</w:t>
            </w:r>
            <w:r>
              <w:t>69.27</w:t>
            </w:r>
          </w:p>
        </w:tc>
      </w:tr>
      <w:tr w:rsidR="008900E5" w14:paraId="1836ABA9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698A34FA" w14:textId="77777777" w:rsidR="003056D0" w:rsidRPr="004F4460" w:rsidRDefault="00E03429" w:rsidP="006E72C2">
            <w:pPr>
              <w:jc w:val="center"/>
            </w:pPr>
            <w:r w:rsidRPr="004F4460">
              <w:t>1</w:t>
            </w:r>
            <w:r>
              <w:t xml:space="preserve"> ½”</w:t>
            </w:r>
          </w:p>
        </w:tc>
        <w:tc>
          <w:tcPr>
            <w:tcW w:w="0" w:type="auto"/>
            <w:vAlign w:val="bottom"/>
          </w:tcPr>
          <w:p w14:paraId="761F4A1E" w14:textId="77777777" w:rsidR="003056D0" w:rsidRPr="006E1E08" w:rsidRDefault="00E03429" w:rsidP="006E72C2">
            <w:pPr>
              <w:jc w:val="center"/>
            </w:pPr>
            <w:r w:rsidRPr="006E1E08">
              <w:t>4.00</w:t>
            </w:r>
          </w:p>
        </w:tc>
        <w:tc>
          <w:tcPr>
            <w:tcW w:w="0" w:type="auto"/>
            <w:vAlign w:val="center"/>
          </w:tcPr>
          <w:p w14:paraId="296B660C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left="147" w:right="558"/>
              <w:jc w:val="right"/>
            </w:pPr>
            <w:r>
              <w:t xml:space="preserve">        </w:t>
            </w:r>
            <w:r w:rsidRPr="00A13377">
              <w:t>$</w:t>
            </w:r>
            <w:r>
              <w:t>154.80</w:t>
            </w:r>
          </w:p>
        </w:tc>
      </w:tr>
      <w:tr w:rsidR="008900E5" w14:paraId="5BBE0945" w14:textId="77777777" w:rsidTr="006E72C2">
        <w:trPr>
          <w:jc w:val="center"/>
        </w:trPr>
        <w:tc>
          <w:tcPr>
            <w:tcW w:w="0" w:type="auto"/>
            <w:shd w:val="clear" w:color="auto" w:fill="auto"/>
          </w:tcPr>
          <w:p w14:paraId="046428F2" w14:textId="77777777" w:rsidR="003056D0" w:rsidRPr="004F4460" w:rsidRDefault="00E03429" w:rsidP="006E72C2">
            <w:pPr>
              <w:jc w:val="center"/>
            </w:pPr>
            <w:r w:rsidRPr="004F4460">
              <w:t>2"</w:t>
            </w:r>
          </w:p>
        </w:tc>
        <w:tc>
          <w:tcPr>
            <w:tcW w:w="0" w:type="auto"/>
            <w:vAlign w:val="bottom"/>
          </w:tcPr>
          <w:p w14:paraId="11838862" w14:textId="77777777" w:rsidR="003056D0" w:rsidRPr="006E1E08" w:rsidRDefault="00E03429" w:rsidP="006E72C2">
            <w:pPr>
              <w:jc w:val="center"/>
            </w:pPr>
            <w:r w:rsidRPr="006E1E08">
              <w:t>7.14</w:t>
            </w:r>
          </w:p>
        </w:tc>
        <w:tc>
          <w:tcPr>
            <w:tcW w:w="0" w:type="auto"/>
            <w:vAlign w:val="center"/>
          </w:tcPr>
          <w:p w14:paraId="7E13E17A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left="147" w:right="558"/>
              <w:jc w:val="right"/>
            </w:pPr>
            <w:r>
              <w:t xml:space="preserve">        </w:t>
            </w:r>
            <w:r w:rsidRPr="00A13377">
              <w:t>$</w:t>
            </w:r>
            <w:r>
              <w:t>276.32</w:t>
            </w:r>
          </w:p>
        </w:tc>
      </w:tr>
    </w:tbl>
    <w:p w14:paraId="247670F6" w14:textId="77777777" w:rsidR="00D236CC" w:rsidRPr="003056D0" w:rsidRDefault="00E03429" w:rsidP="00D236CC">
      <w:pPr>
        <w:pStyle w:val="Heading2"/>
        <w:spacing w:before="240"/>
        <w:rPr>
          <w:b w:val="0"/>
          <w:szCs w:val="22"/>
        </w:rPr>
      </w:pPr>
      <w:r w:rsidRPr="003056D0">
        <w:rPr>
          <w:b w:val="0"/>
          <w:szCs w:val="22"/>
        </w:rPr>
        <w:tab/>
      </w:r>
      <w:r w:rsidR="003056D0" w:rsidRPr="003056D0">
        <w:rPr>
          <w:b w:val="0"/>
        </w:rPr>
        <w:t>The City proposes to increase its Usage Charge in $1.75 per 1,000 gallons consumed, per connection, or proportionate charge for gallons of water consumed in excess of any 1,000 gallon increment</w:t>
      </w:r>
      <w:r w:rsidRPr="003056D0">
        <w:rPr>
          <w:b w:val="0"/>
          <w:szCs w:val="22"/>
        </w:rPr>
        <w:t xml:space="preserve">.  </w:t>
      </w:r>
    </w:p>
    <w:p w14:paraId="6ED85F7C" w14:textId="77777777" w:rsidR="00AE3B20" w:rsidRPr="003056D0" w:rsidRDefault="00E03429" w:rsidP="00D236CC">
      <w:pPr>
        <w:pStyle w:val="Heading2"/>
        <w:ind w:firstLine="720"/>
        <w:rPr>
          <w:b w:val="0"/>
          <w:szCs w:val="22"/>
        </w:rPr>
      </w:pPr>
      <w:r w:rsidRPr="003056D0">
        <w:rPr>
          <w:b w:val="0"/>
        </w:rPr>
        <w:t>For a user with a 3/4” service connection using 5,000 gallons of water a month, the proposed Monthl</w:t>
      </w:r>
      <w:r w:rsidRPr="003056D0">
        <w:rPr>
          <w:b w:val="0"/>
        </w:rPr>
        <w:t>y Charge of $47.45 represents an increase of approximately 11% over the current Monthly Charge of $42.70</w:t>
      </w:r>
      <w:r w:rsidR="00D236CC" w:rsidRPr="003056D0">
        <w:rPr>
          <w:b w:val="0"/>
          <w:szCs w:val="22"/>
        </w:rPr>
        <w:t>.</w:t>
      </w:r>
      <w:r w:rsidRPr="003056D0">
        <w:rPr>
          <w:b w:val="0"/>
          <w:szCs w:val="22"/>
        </w:rPr>
        <w:t xml:space="preserve"> </w:t>
      </w:r>
    </w:p>
    <w:p w14:paraId="7DD41B3E" w14:textId="77777777" w:rsidR="003056D0" w:rsidRDefault="00E03429" w:rsidP="00CE6758">
      <w:pPr>
        <w:tabs>
          <w:tab w:val="left" w:pos="0"/>
        </w:tabs>
        <w:suppressAutoHyphens/>
        <w:spacing w:after="240"/>
        <w:ind w:firstLine="720"/>
      </w:pPr>
      <w:r>
        <w:t xml:space="preserve">In addition to the proposed increase to the monthly charge described in Section 3, the City proposes to increase water rates pursuant to a Municipal </w:t>
      </w:r>
      <w:r>
        <w:t xml:space="preserve">Water Supply Agreement between the City and Central Montana Regional Water Authority (“CMRWA”).  </w:t>
      </w:r>
      <w:r w:rsidRPr="00FB7AE6">
        <w:rPr>
          <w:u w:val="single"/>
        </w:rPr>
        <w:t>The rates</w:t>
      </w:r>
      <w:r>
        <w:rPr>
          <w:u w:val="single"/>
        </w:rPr>
        <w:t xml:space="preserve"> described below</w:t>
      </w:r>
      <w:r w:rsidRPr="00FB7AE6">
        <w:rPr>
          <w:u w:val="single"/>
        </w:rPr>
        <w:t xml:space="preserve"> will not become effective until CMRWA connects to and begins providing water to the City</w:t>
      </w:r>
      <w:r>
        <w:t>.</w:t>
      </w:r>
    </w:p>
    <w:p w14:paraId="4D261BD3" w14:textId="77777777" w:rsidR="003056D0" w:rsidRDefault="00E03429" w:rsidP="00CE6758">
      <w:pPr>
        <w:tabs>
          <w:tab w:val="left" w:pos="0"/>
        </w:tabs>
        <w:suppressAutoHyphens/>
        <w:spacing w:after="240"/>
        <w:ind w:firstLine="720"/>
      </w:pPr>
      <w:r>
        <w:t>CMRWA</w:t>
      </w:r>
      <w:r w:rsidRPr="006E1E08">
        <w:t xml:space="preserve"> </w:t>
      </w:r>
      <w:r>
        <w:t>also utilizes the</w:t>
      </w:r>
      <w:r w:rsidRPr="006E1E08">
        <w:t xml:space="preserve"> </w:t>
      </w:r>
      <w:r>
        <w:t>EDU</w:t>
      </w:r>
      <w:r w:rsidRPr="006E1E08">
        <w:t xml:space="preserve"> methodology for</w:t>
      </w:r>
      <w:r w:rsidRPr="006E1E08">
        <w:t xml:space="preserve"> imposing rates and charges f</w:t>
      </w:r>
      <w:r>
        <w:t>or the use and availability of its water s</w:t>
      </w:r>
      <w:r w:rsidRPr="006E1E08">
        <w:t>ystem</w:t>
      </w:r>
      <w:r>
        <w:t>.  Pursuant to the Municipal Water Supply Agreement</w:t>
      </w:r>
      <w:r>
        <w:rPr>
          <w:szCs w:val="24"/>
        </w:rPr>
        <w:t xml:space="preserve">, the City will be charged </w:t>
      </w:r>
      <w:r w:rsidRPr="00A84452">
        <w:rPr>
          <w:szCs w:val="24"/>
        </w:rPr>
        <w:t xml:space="preserve">a </w:t>
      </w:r>
      <w:r>
        <w:rPr>
          <w:szCs w:val="24"/>
        </w:rPr>
        <w:t>b</w:t>
      </w:r>
      <w:r w:rsidRPr="00A84452">
        <w:rPr>
          <w:szCs w:val="24"/>
        </w:rPr>
        <w:t xml:space="preserve">ase </w:t>
      </w:r>
      <w:r>
        <w:rPr>
          <w:szCs w:val="24"/>
        </w:rPr>
        <w:t>r</w:t>
      </w:r>
      <w:r w:rsidRPr="00A84452">
        <w:rPr>
          <w:szCs w:val="24"/>
        </w:rPr>
        <w:t>ate based on the total number of EDUs to be</w:t>
      </w:r>
      <w:r>
        <w:t xml:space="preserve"> served by CMRWA, together with a usage rate based </w:t>
      </w:r>
      <w:r>
        <w:t>on gallons of water used.</w:t>
      </w:r>
    </w:p>
    <w:p w14:paraId="4A0642B2" w14:textId="77777777" w:rsidR="003056D0" w:rsidRDefault="00E03429" w:rsidP="00CE6758">
      <w:pPr>
        <w:tabs>
          <w:tab w:val="left" w:pos="0"/>
        </w:tabs>
        <w:suppressAutoHyphens/>
        <w:spacing w:after="240"/>
        <w:ind w:firstLine="720"/>
      </w:pPr>
      <w:r w:rsidRPr="00C6778C">
        <w:t xml:space="preserve">Effective as of the date that water from </w:t>
      </w:r>
      <w:r>
        <w:t>the CMRWA</w:t>
      </w:r>
      <w:r w:rsidRPr="006E1E08">
        <w:t xml:space="preserve"> </w:t>
      </w:r>
      <w:r w:rsidRPr="00C6778C">
        <w:t xml:space="preserve">water system is available to </w:t>
      </w:r>
      <w:r>
        <w:t>City</w:t>
      </w:r>
      <w:r w:rsidRPr="00C6778C">
        <w:t>,</w:t>
      </w:r>
      <w:r>
        <w:t xml:space="preserve"> the City proposes to increase its Base Rate to include the CMRWA base rate charge per EDU, so that the total Base Rate (the “Total CMRWA Base Ra</w:t>
      </w:r>
      <w:r>
        <w:t>te”) per user is as follows</w:t>
      </w:r>
      <w:r w:rsidRPr="00C6778C">
        <w:t>:</w:t>
      </w:r>
    </w:p>
    <w:tbl>
      <w:tblPr>
        <w:tblStyle w:val="TableGrid"/>
        <w:tblW w:w="94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6"/>
        <w:gridCol w:w="1643"/>
        <w:gridCol w:w="1186"/>
        <w:gridCol w:w="1793"/>
        <w:gridCol w:w="1793"/>
        <w:gridCol w:w="1793"/>
      </w:tblGrid>
      <w:tr w:rsidR="008900E5" w14:paraId="0C3C68FB" w14:textId="77777777" w:rsidTr="006E72C2">
        <w:trPr>
          <w:jc w:val="center"/>
        </w:trPr>
        <w:tc>
          <w:tcPr>
            <w:tcW w:w="1256" w:type="dxa"/>
            <w:vAlign w:val="bottom"/>
          </w:tcPr>
          <w:p w14:paraId="6D3986B8" w14:textId="77777777" w:rsidR="003056D0" w:rsidRPr="006E1E08" w:rsidRDefault="00E03429" w:rsidP="006E72C2">
            <w:pPr>
              <w:pStyle w:val="BodyText"/>
              <w:ind w:left="-5"/>
              <w:jc w:val="center"/>
            </w:pPr>
            <w:r w:rsidRPr="006E1E08">
              <w:rPr>
                <w:u w:val="single"/>
              </w:rPr>
              <w:lastRenderedPageBreak/>
              <w:t>Diameter</w:t>
            </w:r>
          </w:p>
        </w:tc>
        <w:tc>
          <w:tcPr>
            <w:tcW w:w="1643" w:type="dxa"/>
            <w:vAlign w:val="bottom"/>
          </w:tcPr>
          <w:p w14:paraId="52F23BCD" w14:textId="77777777" w:rsidR="003056D0" w:rsidRPr="006E1E08" w:rsidRDefault="00E03429" w:rsidP="006E72C2">
            <w:pPr>
              <w:pStyle w:val="BodyText"/>
              <w:jc w:val="center"/>
            </w:pPr>
            <w:r>
              <w:rPr>
                <w:u w:val="single"/>
              </w:rPr>
              <w:t xml:space="preserve">CMRWA </w:t>
            </w:r>
            <w:r w:rsidRPr="006E1E08">
              <w:rPr>
                <w:u w:val="single"/>
              </w:rPr>
              <w:t>Cost per EDU</w:t>
            </w:r>
          </w:p>
        </w:tc>
        <w:tc>
          <w:tcPr>
            <w:tcW w:w="1186" w:type="dxa"/>
            <w:vAlign w:val="bottom"/>
          </w:tcPr>
          <w:p w14:paraId="31ED0429" w14:textId="77777777" w:rsidR="003056D0" w:rsidRPr="006E1E08" w:rsidRDefault="00E03429" w:rsidP="006E72C2">
            <w:pPr>
              <w:pStyle w:val="BodyText"/>
              <w:ind w:left="-4"/>
              <w:jc w:val="center"/>
            </w:pPr>
            <w:r w:rsidRPr="006E1E08">
              <w:rPr>
                <w:u w:val="single"/>
              </w:rPr>
              <w:t>Multiplier</w:t>
            </w:r>
          </w:p>
        </w:tc>
        <w:tc>
          <w:tcPr>
            <w:tcW w:w="1793" w:type="dxa"/>
            <w:vAlign w:val="bottom"/>
          </w:tcPr>
          <w:p w14:paraId="6CC566D1" w14:textId="77777777" w:rsidR="003056D0" w:rsidRPr="006E1E08" w:rsidRDefault="00E03429" w:rsidP="006E72C2">
            <w:pPr>
              <w:pStyle w:val="BodyText"/>
              <w:jc w:val="center"/>
            </w:pPr>
            <w:r>
              <w:rPr>
                <w:u w:val="single"/>
              </w:rPr>
              <w:t xml:space="preserve">CMRWA </w:t>
            </w:r>
            <w:r w:rsidRPr="006E1E08">
              <w:rPr>
                <w:u w:val="single"/>
              </w:rPr>
              <w:br/>
              <w:t>Base Rate Charge</w:t>
            </w:r>
          </w:p>
        </w:tc>
        <w:tc>
          <w:tcPr>
            <w:tcW w:w="1793" w:type="dxa"/>
            <w:vAlign w:val="bottom"/>
          </w:tcPr>
          <w:p w14:paraId="6C065C87" w14:textId="77777777" w:rsidR="003056D0" w:rsidRPr="001D32D1" w:rsidRDefault="00E03429" w:rsidP="006E72C2">
            <w:pPr>
              <w:spacing w:after="120"/>
              <w:ind w:left="14"/>
              <w:jc w:val="center"/>
            </w:pPr>
            <w:r>
              <w:rPr>
                <w:u w:val="single"/>
              </w:rPr>
              <w:t>City’s</w:t>
            </w:r>
            <w:r w:rsidRPr="001D32D1">
              <w:rPr>
                <w:u w:val="single"/>
              </w:rPr>
              <w:t xml:space="preserve"> </w:t>
            </w:r>
            <w:r>
              <w:rPr>
                <w:u w:val="single"/>
              </w:rPr>
              <w:t>Proposed</w:t>
            </w:r>
            <w:r>
              <w:rPr>
                <w:u w:val="single"/>
              </w:rPr>
              <w:br/>
            </w:r>
            <w:r w:rsidRPr="001D32D1">
              <w:rPr>
                <w:u w:val="single"/>
              </w:rPr>
              <w:t>Base Rate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793" w:type="dxa"/>
            <w:vAlign w:val="bottom"/>
          </w:tcPr>
          <w:p w14:paraId="4B18A9F1" w14:textId="77777777" w:rsidR="003056D0" w:rsidRDefault="00E03429" w:rsidP="006E72C2">
            <w:pPr>
              <w:pStyle w:val="BodyText"/>
              <w:jc w:val="center"/>
              <w:rPr>
                <w:u w:val="single"/>
              </w:rPr>
            </w:pPr>
            <w:r>
              <w:rPr>
                <w:u w:val="single"/>
              </w:rPr>
              <w:t>Total CMRWA Base Rate</w:t>
            </w:r>
          </w:p>
        </w:tc>
      </w:tr>
      <w:tr w:rsidR="008900E5" w14:paraId="73B018B0" w14:textId="77777777" w:rsidTr="006E72C2">
        <w:trPr>
          <w:jc w:val="center"/>
        </w:trPr>
        <w:tc>
          <w:tcPr>
            <w:tcW w:w="1256" w:type="dxa"/>
            <w:vAlign w:val="center"/>
          </w:tcPr>
          <w:p w14:paraId="04942447" w14:textId="77777777" w:rsidR="003056D0" w:rsidRPr="006E1E08" w:rsidRDefault="00E03429" w:rsidP="006E72C2">
            <w:pPr>
              <w:jc w:val="center"/>
            </w:pPr>
            <w:r w:rsidRPr="006E1E08">
              <w:t>3/4 inch</w:t>
            </w:r>
          </w:p>
        </w:tc>
        <w:tc>
          <w:tcPr>
            <w:tcW w:w="1643" w:type="dxa"/>
            <w:vAlign w:val="center"/>
          </w:tcPr>
          <w:p w14:paraId="42406905" w14:textId="77777777" w:rsidR="003056D0" w:rsidRPr="006E1E08" w:rsidRDefault="00E03429" w:rsidP="006E72C2">
            <w:pPr>
              <w:ind w:right="400"/>
              <w:jc w:val="right"/>
            </w:pPr>
            <w:r>
              <w:t>$</w:t>
            </w:r>
            <w:r w:rsidRPr="006E1E08">
              <w:t>37.72</w:t>
            </w:r>
          </w:p>
        </w:tc>
        <w:tc>
          <w:tcPr>
            <w:tcW w:w="1186" w:type="dxa"/>
            <w:vAlign w:val="center"/>
          </w:tcPr>
          <w:p w14:paraId="3C09CB9E" w14:textId="77777777" w:rsidR="003056D0" w:rsidRPr="006E1E08" w:rsidRDefault="00E03429" w:rsidP="006E72C2">
            <w:pPr>
              <w:jc w:val="center"/>
            </w:pPr>
            <w:r w:rsidRPr="006E1E08">
              <w:t>1.00</w:t>
            </w:r>
          </w:p>
        </w:tc>
        <w:tc>
          <w:tcPr>
            <w:tcW w:w="1793" w:type="dxa"/>
            <w:vAlign w:val="center"/>
          </w:tcPr>
          <w:p w14:paraId="5ED54E54" w14:textId="77777777" w:rsidR="003056D0" w:rsidRPr="006E1E08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>
              <w:t xml:space="preserve">$  </w:t>
            </w:r>
            <w:r w:rsidRPr="006E1E08">
              <w:t>37.72</w:t>
            </w:r>
          </w:p>
        </w:tc>
        <w:tc>
          <w:tcPr>
            <w:tcW w:w="1793" w:type="dxa"/>
            <w:vAlign w:val="center"/>
          </w:tcPr>
          <w:p w14:paraId="382AD5DE" w14:textId="77777777" w:rsidR="003056D0" w:rsidRPr="00A13377" w:rsidRDefault="00E03429" w:rsidP="006E72C2">
            <w:pPr>
              <w:ind w:right="400"/>
              <w:jc w:val="right"/>
            </w:pPr>
            <w:r>
              <w:t xml:space="preserve">    </w:t>
            </w:r>
            <w:r w:rsidRPr="00A13377">
              <w:t>$</w:t>
            </w:r>
            <w:r>
              <w:t xml:space="preserve">  38.70</w:t>
            </w:r>
          </w:p>
        </w:tc>
        <w:tc>
          <w:tcPr>
            <w:tcW w:w="1793" w:type="dxa"/>
            <w:vAlign w:val="center"/>
          </w:tcPr>
          <w:p w14:paraId="5E5B67F5" w14:textId="77777777" w:rsidR="003056D0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>
              <w:t>$  76.42</w:t>
            </w:r>
          </w:p>
        </w:tc>
      </w:tr>
      <w:tr w:rsidR="008900E5" w14:paraId="5510D06D" w14:textId="77777777" w:rsidTr="006E72C2">
        <w:trPr>
          <w:jc w:val="center"/>
        </w:trPr>
        <w:tc>
          <w:tcPr>
            <w:tcW w:w="1256" w:type="dxa"/>
            <w:vAlign w:val="center"/>
          </w:tcPr>
          <w:p w14:paraId="45B00D5A" w14:textId="77777777" w:rsidR="003056D0" w:rsidRPr="006E1E08" w:rsidRDefault="00E03429" w:rsidP="006E72C2">
            <w:pPr>
              <w:jc w:val="center"/>
            </w:pPr>
            <w:r w:rsidRPr="006E1E08">
              <w:t>1.00 inch</w:t>
            </w:r>
          </w:p>
        </w:tc>
        <w:tc>
          <w:tcPr>
            <w:tcW w:w="1643" w:type="dxa"/>
            <w:vAlign w:val="center"/>
          </w:tcPr>
          <w:p w14:paraId="0DFD0174" w14:textId="77777777" w:rsidR="003056D0" w:rsidRPr="006E1E08" w:rsidRDefault="00E03429" w:rsidP="006E72C2">
            <w:pPr>
              <w:ind w:right="400"/>
              <w:jc w:val="right"/>
            </w:pPr>
            <w:r w:rsidRPr="006E1E08">
              <w:t>37.72</w:t>
            </w:r>
          </w:p>
        </w:tc>
        <w:tc>
          <w:tcPr>
            <w:tcW w:w="1186" w:type="dxa"/>
            <w:vAlign w:val="center"/>
          </w:tcPr>
          <w:p w14:paraId="3E2D64C1" w14:textId="77777777" w:rsidR="003056D0" w:rsidRPr="006E1E08" w:rsidRDefault="00E03429" w:rsidP="006E72C2">
            <w:pPr>
              <w:jc w:val="center"/>
            </w:pPr>
            <w:r w:rsidRPr="006E1E08">
              <w:t>1.79</w:t>
            </w:r>
          </w:p>
        </w:tc>
        <w:tc>
          <w:tcPr>
            <w:tcW w:w="1793" w:type="dxa"/>
            <w:vAlign w:val="center"/>
          </w:tcPr>
          <w:p w14:paraId="6E7F20FE" w14:textId="77777777" w:rsidR="003056D0" w:rsidRPr="006E1E08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 w:rsidRPr="006E1E08">
              <w:t>67.52</w:t>
            </w:r>
          </w:p>
        </w:tc>
        <w:tc>
          <w:tcPr>
            <w:tcW w:w="1793" w:type="dxa"/>
            <w:vAlign w:val="center"/>
          </w:tcPr>
          <w:p w14:paraId="1E21AB29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right="400"/>
              <w:jc w:val="right"/>
            </w:pPr>
            <w:r>
              <w:t>69.27</w:t>
            </w:r>
          </w:p>
        </w:tc>
        <w:tc>
          <w:tcPr>
            <w:tcW w:w="1793" w:type="dxa"/>
            <w:vAlign w:val="center"/>
          </w:tcPr>
          <w:p w14:paraId="0CAFF32E" w14:textId="77777777" w:rsidR="003056D0" w:rsidRPr="006E1E08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>
              <w:t>136.79</w:t>
            </w:r>
          </w:p>
        </w:tc>
      </w:tr>
      <w:tr w:rsidR="008900E5" w14:paraId="11411CAD" w14:textId="77777777" w:rsidTr="006E72C2">
        <w:trPr>
          <w:jc w:val="center"/>
        </w:trPr>
        <w:tc>
          <w:tcPr>
            <w:tcW w:w="1256" w:type="dxa"/>
            <w:vAlign w:val="center"/>
          </w:tcPr>
          <w:p w14:paraId="0118BF97" w14:textId="77777777" w:rsidR="003056D0" w:rsidRPr="006E1E08" w:rsidRDefault="00E03429" w:rsidP="006E72C2">
            <w:pPr>
              <w:jc w:val="center"/>
            </w:pPr>
            <w:r w:rsidRPr="006E1E08">
              <w:t>1.50 inch</w:t>
            </w:r>
          </w:p>
        </w:tc>
        <w:tc>
          <w:tcPr>
            <w:tcW w:w="1643" w:type="dxa"/>
            <w:vAlign w:val="center"/>
          </w:tcPr>
          <w:p w14:paraId="2D7ABD1A" w14:textId="77777777" w:rsidR="003056D0" w:rsidRPr="006E1E08" w:rsidRDefault="00E03429" w:rsidP="006E72C2">
            <w:pPr>
              <w:ind w:right="400"/>
              <w:jc w:val="right"/>
            </w:pPr>
            <w:r w:rsidRPr="006E1E08">
              <w:t>37.72</w:t>
            </w:r>
          </w:p>
        </w:tc>
        <w:tc>
          <w:tcPr>
            <w:tcW w:w="1186" w:type="dxa"/>
            <w:vAlign w:val="center"/>
          </w:tcPr>
          <w:p w14:paraId="58B55F98" w14:textId="77777777" w:rsidR="003056D0" w:rsidRPr="006E1E08" w:rsidRDefault="00E03429" w:rsidP="006E72C2">
            <w:pPr>
              <w:jc w:val="center"/>
            </w:pPr>
            <w:r w:rsidRPr="006E1E08">
              <w:t>4.00</w:t>
            </w:r>
          </w:p>
        </w:tc>
        <w:tc>
          <w:tcPr>
            <w:tcW w:w="1793" w:type="dxa"/>
            <w:vAlign w:val="center"/>
          </w:tcPr>
          <w:p w14:paraId="412124B2" w14:textId="77777777" w:rsidR="003056D0" w:rsidRPr="006E1E08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 w:rsidRPr="006E1E08">
              <w:t>150.88</w:t>
            </w:r>
          </w:p>
        </w:tc>
        <w:tc>
          <w:tcPr>
            <w:tcW w:w="1793" w:type="dxa"/>
            <w:vAlign w:val="center"/>
          </w:tcPr>
          <w:p w14:paraId="2F8993FC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right="400"/>
              <w:jc w:val="right"/>
            </w:pPr>
            <w:r>
              <w:t xml:space="preserve"> 154.80</w:t>
            </w:r>
          </w:p>
        </w:tc>
        <w:tc>
          <w:tcPr>
            <w:tcW w:w="1793" w:type="dxa"/>
            <w:vAlign w:val="center"/>
          </w:tcPr>
          <w:p w14:paraId="4BFF03C9" w14:textId="77777777" w:rsidR="003056D0" w:rsidRPr="006E1E08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>
              <w:t>305.68</w:t>
            </w:r>
          </w:p>
        </w:tc>
      </w:tr>
      <w:tr w:rsidR="008900E5" w14:paraId="25A3E04E" w14:textId="77777777" w:rsidTr="006E72C2">
        <w:trPr>
          <w:jc w:val="center"/>
        </w:trPr>
        <w:tc>
          <w:tcPr>
            <w:tcW w:w="1256" w:type="dxa"/>
            <w:vAlign w:val="center"/>
          </w:tcPr>
          <w:p w14:paraId="09F5C67C" w14:textId="77777777" w:rsidR="003056D0" w:rsidRPr="006E1E08" w:rsidRDefault="00E03429" w:rsidP="006E72C2">
            <w:pPr>
              <w:jc w:val="center"/>
            </w:pPr>
            <w:r w:rsidRPr="006E1E08">
              <w:t>2.00 inch</w:t>
            </w:r>
          </w:p>
        </w:tc>
        <w:tc>
          <w:tcPr>
            <w:tcW w:w="1643" w:type="dxa"/>
            <w:vAlign w:val="center"/>
          </w:tcPr>
          <w:p w14:paraId="34CC27EA" w14:textId="77777777" w:rsidR="003056D0" w:rsidRPr="006E1E08" w:rsidRDefault="00E03429" w:rsidP="006E72C2">
            <w:pPr>
              <w:ind w:right="400"/>
              <w:jc w:val="right"/>
            </w:pPr>
            <w:r w:rsidRPr="006E1E08">
              <w:t>37.72</w:t>
            </w:r>
          </w:p>
        </w:tc>
        <w:tc>
          <w:tcPr>
            <w:tcW w:w="1186" w:type="dxa"/>
            <w:vAlign w:val="center"/>
          </w:tcPr>
          <w:p w14:paraId="1723FD93" w14:textId="77777777" w:rsidR="003056D0" w:rsidRPr="006E1E08" w:rsidRDefault="00E03429" w:rsidP="006E72C2">
            <w:pPr>
              <w:jc w:val="center"/>
            </w:pPr>
            <w:r w:rsidRPr="006E1E08">
              <w:t>7.14</w:t>
            </w:r>
          </w:p>
        </w:tc>
        <w:tc>
          <w:tcPr>
            <w:tcW w:w="1793" w:type="dxa"/>
            <w:vAlign w:val="center"/>
          </w:tcPr>
          <w:p w14:paraId="5AC3A167" w14:textId="77777777" w:rsidR="003056D0" w:rsidRPr="006E1E08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 w:rsidRPr="006E1E08">
              <w:t>269.32</w:t>
            </w:r>
          </w:p>
        </w:tc>
        <w:tc>
          <w:tcPr>
            <w:tcW w:w="1793" w:type="dxa"/>
            <w:vAlign w:val="center"/>
          </w:tcPr>
          <w:p w14:paraId="1E13E4AE" w14:textId="77777777" w:rsidR="003056D0" w:rsidRDefault="00E03429" w:rsidP="006E72C2">
            <w:pPr>
              <w:tabs>
                <w:tab w:val="left" w:pos="661"/>
                <w:tab w:val="left" w:pos="1201"/>
              </w:tabs>
              <w:ind w:right="400"/>
              <w:jc w:val="right"/>
            </w:pPr>
            <w:r>
              <w:t xml:space="preserve"> 276.32</w:t>
            </w:r>
          </w:p>
        </w:tc>
        <w:tc>
          <w:tcPr>
            <w:tcW w:w="1793" w:type="dxa"/>
            <w:vAlign w:val="center"/>
          </w:tcPr>
          <w:p w14:paraId="7C38AF24" w14:textId="77777777" w:rsidR="003056D0" w:rsidRPr="006E1E08" w:rsidRDefault="00E03429" w:rsidP="006E72C2">
            <w:pPr>
              <w:pStyle w:val="BodyText"/>
              <w:tabs>
                <w:tab w:val="decimal" w:pos="702"/>
              </w:tabs>
              <w:spacing w:after="0"/>
              <w:ind w:right="483"/>
              <w:jc w:val="right"/>
            </w:pPr>
            <w:r>
              <w:t>545.64</w:t>
            </w:r>
          </w:p>
        </w:tc>
      </w:tr>
    </w:tbl>
    <w:p w14:paraId="1AE0DD4A" w14:textId="77777777" w:rsidR="003056D0" w:rsidRDefault="00E03429" w:rsidP="002B2A6C">
      <w:pPr>
        <w:tabs>
          <w:tab w:val="left" w:pos="0"/>
        </w:tabs>
        <w:suppressAutoHyphens/>
        <w:spacing w:before="240" w:after="240"/>
        <w:ind w:firstLine="720"/>
      </w:pPr>
      <w:r>
        <w:t xml:space="preserve">The City does not propose to further increase the </w:t>
      </w:r>
      <w:r w:rsidR="002B2A6C">
        <w:t>p</w:t>
      </w:r>
      <w:r>
        <w:t>roposed Usage Charge in connection with the City’s connection to CMRWA.</w:t>
      </w:r>
    </w:p>
    <w:p w14:paraId="3F962844" w14:textId="77777777" w:rsidR="002B2A6C" w:rsidRDefault="00E03429" w:rsidP="00CE6758">
      <w:pPr>
        <w:tabs>
          <w:tab w:val="left" w:pos="0"/>
        </w:tabs>
        <w:suppressAutoHyphens/>
        <w:spacing w:after="240"/>
        <w:ind w:firstLine="720"/>
      </w:pPr>
      <w:r w:rsidRPr="00C6778C">
        <w:t xml:space="preserve">Effective as of the date that water from </w:t>
      </w:r>
      <w:r>
        <w:t>the CMRWA</w:t>
      </w:r>
      <w:r w:rsidRPr="006E1E08">
        <w:t xml:space="preserve"> </w:t>
      </w:r>
      <w:r w:rsidRPr="00C6778C">
        <w:t xml:space="preserve">water system is available to </w:t>
      </w:r>
      <w:r>
        <w:t xml:space="preserve">City, which is expected to be </w:t>
      </w:r>
      <w:r w:rsidR="008B558F" w:rsidRPr="008B558F">
        <w:t>June 2023</w:t>
      </w:r>
      <w:r w:rsidRPr="00C6778C">
        <w:t>,</w:t>
      </w:r>
      <w:r>
        <w:t xml:space="preserve"> the total Monthly Charge for each connection to the System consists of the Total CMRWA Base Rate plus the Proposed Usage Charge for suc</w:t>
      </w:r>
      <w:r>
        <w:t>h connection.</w:t>
      </w:r>
    </w:p>
    <w:p w14:paraId="7E937E02" w14:textId="77777777" w:rsidR="002B2A6C" w:rsidRDefault="00E03429" w:rsidP="00CE6758">
      <w:pPr>
        <w:tabs>
          <w:tab w:val="left" w:pos="0"/>
        </w:tabs>
        <w:suppressAutoHyphens/>
        <w:spacing w:after="240"/>
        <w:ind w:firstLine="720"/>
      </w:pPr>
      <w:r>
        <w:t>For a user with a 3/4” service connection using 5,000 gallons of water a month, the total Monthly Charge following connection to CMRWA of $85.17 represents an increase of approximately 99.46% over the current Monthly Charge of $42.70.</w:t>
      </w:r>
    </w:p>
    <w:p w14:paraId="7B56139A" w14:textId="77777777" w:rsidR="00AE3B20" w:rsidRDefault="00E03429" w:rsidP="00CE6758">
      <w:pPr>
        <w:tabs>
          <w:tab w:val="left" w:pos="0"/>
        </w:tabs>
        <w:suppressAutoHyphens/>
        <w:spacing w:after="240"/>
        <w:ind w:firstLine="720"/>
        <w:rPr>
          <w:szCs w:val="22"/>
        </w:rPr>
      </w:pPr>
      <w:r>
        <w:rPr>
          <w:szCs w:val="22"/>
        </w:rPr>
        <w:t xml:space="preserve">On </w:t>
      </w:r>
      <w:r w:rsidR="003056D0">
        <w:rPr>
          <w:szCs w:val="22"/>
        </w:rPr>
        <w:t>March</w:t>
      </w:r>
      <w:r w:rsidR="00D236CC">
        <w:rPr>
          <w:szCs w:val="22"/>
        </w:rPr>
        <w:t xml:space="preserve"> </w:t>
      </w:r>
      <w:r w:rsidR="003056D0">
        <w:rPr>
          <w:szCs w:val="22"/>
        </w:rPr>
        <w:t>14</w:t>
      </w:r>
      <w:r>
        <w:rPr>
          <w:szCs w:val="22"/>
        </w:rPr>
        <w:t xml:space="preserve">, </w:t>
      </w:r>
      <w:r w:rsidR="003056D0">
        <w:rPr>
          <w:szCs w:val="22"/>
        </w:rPr>
        <w:t>2023</w:t>
      </w:r>
      <w:r>
        <w:rPr>
          <w:szCs w:val="22"/>
        </w:rPr>
        <w:t xml:space="preserve">, </w:t>
      </w:r>
      <w:r w:rsidR="00D236CC">
        <w:rPr>
          <w:szCs w:val="24"/>
        </w:rPr>
        <w:t xml:space="preserve">commencing at </w:t>
      </w:r>
      <w:r w:rsidR="00C17D39" w:rsidRPr="00C17D39">
        <w:rPr>
          <w:szCs w:val="24"/>
        </w:rPr>
        <w:t>6</w:t>
      </w:r>
      <w:r w:rsidR="008B558F" w:rsidRPr="00C17D39">
        <w:rPr>
          <w:szCs w:val="24"/>
        </w:rPr>
        <w:t>:00</w:t>
      </w:r>
      <w:r w:rsidR="00D236CC">
        <w:rPr>
          <w:szCs w:val="24"/>
        </w:rPr>
        <w:t xml:space="preserve"> p.m. in the Harlowton City Hall, 17 South Central Avenue, Harlowton, Montana</w:t>
      </w:r>
      <w:r>
        <w:rPr>
          <w:szCs w:val="22"/>
        </w:rPr>
        <w:t>, the Council will conduct a public hearing and pass upon all protests against the proposed water rate increase.  Further information about the p</w:t>
      </w:r>
      <w:r>
        <w:rPr>
          <w:szCs w:val="22"/>
        </w:rPr>
        <w:t xml:space="preserve">roposed rate increase may be obtained by contacting </w:t>
      </w:r>
      <w:r w:rsidR="003056D0">
        <w:rPr>
          <w:szCs w:val="22"/>
        </w:rPr>
        <w:t>Lara Brisco</w:t>
      </w:r>
      <w:r>
        <w:rPr>
          <w:szCs w:val="22"/>
        </w:rPr>
        <w:t>, City Clerk-Treasurer, P.O. Box 292, Harlowton, Montana 59036, phone: (406) 632-5523.</w:t>
      </w:r>
    </w:p>
    <w:p w14:paraId="303AE4F8" w14:textId="77777777" w:rsidR="00AE3B20" w:rsidRDefault="00E03429">
      <w:pPr>
        <w:pStyle w:val="BodyTextFirst5"/>
        <w:rPr>
          <w:szCs w:val="22"/>
        </w:rPr>
      </w:pPr>
      <w:r>
        <w:rPr>
          <w:szCs w:val="22"/>
        </w:rPr>
        <w:t xml:space="preserve">Done by Order of the Council of the City of Harlowton, Montana, this </w:t>
      </w:r>
      <w:r w:rsidR="00D236CC">
        <w:rPr>
          <w:szCs w:val="22"/>
        </w:rPr>
        <w:t>1</w:t>
      </w:r>
      <w:r>
        <w:rPr>
          <w:szCs w:val="22"/>
        </w:rPr>
        <w:t xml:space="preserve">4th day of </w:t>
      </w:r>
      <w:r w:rsidR="003056D0">
        <w:rPr>
          <w:szCs w:val="22"/>
        </w:rPr>
        <w:t>February</w:t>
      </w:r>
      <w:r>
        <w:rPr>
          <w:szCs w:val="22"/>
        </w:rPr>
        <w:t xml:space="preserve">, </w:t>
      </w:r>
      <w:r w:rsidR="003056D0">
        <w:rPr>
          <w:szCs w:val="22"/>
        </w:rPr>
        <w:t>2023</w:t>
      </w:r>
      <w:r>
        <w:rPr>
          <w:szCs w:val="22"/>
        </w:rPr>
        <w:t>.</w:t>
      </w:r>
    </w:p>
    <w:p w14:paraId="5E6ED8D5" w14:textId="77777777" w:rsidR="00AE3B20" w:rsidRDefault="00E03429">
      <w:pPr>
        <w:rPr>
          <w:szCs w:val="22"/>
        </w:rPr>
      </w:pPr>
      <w:r>
        <w:rPr>
          <w:szCs w:val="22"/>
        </w:rPr>
        <w:t>Publish:</w:t>
      </w:r>
      <w:r>
        <w:rPr>
          <w:szCs w:val="22"/>
        </w:rPr>
        <w:tab/>
      </w:r>
      <w:r w:rsidR="003056D0">
        <w:t>February 22, March 1, and March 8, 2023</w:t>
      </w:r>
    </w:p>
    <w:p w14:paraId="5D813BF1" w14:textId="77777777" w:rsidR="00AE3B20" w:rsidRDefault="00AE3B20">
      <w:pPr>
        <w:rPr>
          <w:szCs w:val="22"/>
        </w:rPr>
      </w:pPr>
    </w:p>
    <w:p w14:paraId="41E58137" w14:textId="77777777" w:rsidR="00AE3B20" w:rsidRDefault="00E03429">
      <w:pPr>
        <w:rPr>
          <w:szCs w:val="22"/>
        </w:rPr>
      </w:pPr>
      <w:r>
        <w:rPr>
          <w:szCs w:val="22"/>
        </w:rPr>
        <w:t>Mail:</w:t>
      </w:r>
      <w:r>
        <w:rPr>
          <w:szCs w:val="22"/>
        </w:rPr>
        <w:tab/>
      </w:r>
      <w:r>
        <w:rPr>
          <w:szCs w:val="22"/>
        </w:rPr>
        <w:tab/>
      </w:r>
      <w:r w:rsidR="003056D0">
        <w:t>February 22</w:t>
      </w:r>
      <w:r>
        <w:rPr>
          <w:szCs w:val="22"/>
        </w:rPr>
        <w:t xml:space="preserve">, </w:t>
      </w:r>
      <w:r w:rsidR="003056D0">
        <w:rPr>
          <w:szCs w:val="22"/>
        </w:rPr>
        <w:t>2023</w:t>
      </w:r>
    </w:p>
    <w:sectPr w:rsidR="00AE3B20" w:rsidSect="002B2A6C">
      <w:footerReference w:type="default" r:id="rId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C7FD5" w14:textId="77777777" w:rsidR="00000000" w:rsidRDefault="00E03429">
      <w:r>
        <w:separator/>
      </w:r>
    </w:p>
  </w:endnote>
  <w:endnote w:type="continuationSeparator" w:id="0">
    <w:p w14:paraId="40DEE27C" w14:textId="77777777" w:rsidR="00000000" w:rsidRDefault="00E0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2B84" w14:textId="77777777" w:rsidR="001A3C6D" w:rsidRDefault="00E03429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6033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AEDB4" w14:textId="77777777" w:rsidR="00000000" w:rsidRDefault="00E03429">
      <w:r>
        <w:separator/>
      </w:r>
    </w:p>
  </w:footnote>
  <w:footnote w:type="continuationSeparator" w:id="0">
    <w:p w14:paraId="08CA8426" w14:textId="77777777" w:rsidR="00000000" w:rsidRDefault="00E0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2C2C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1019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E8ED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6C4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D62E4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028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8205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42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96D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8AA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0C99"/>
    <w:multiLevelType w:val="hybridMultilevel"/>
    <w:tmpl w:val="782E002C"/>
    <w:lvl w:ilvl="0" w:tplc="353ED6C0">
      <w:start w:val="1"/>
      <w:numFmt w:val="bullet"/>
      <w:pStyle w:val="DWList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3F2E3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AA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43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6E8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668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465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62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CAA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2379C"/>
    <w:multiLevelType w:val="singleLevel"/>
    <w:tmpl w:val="38B2708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373242"/>
    <w:multiLevelType w:val="multilevel"/>
    <w:tmpl w:val="91F00D78"/>
    <w:lvl w:ilvl="0">
      <w:start w:val="1"/>
      <w:numFmt w:val="none"/>
      <w:pStyle w:val="Heading1"/>
      <w:suff w:val="nothing"/>
      <w:lvlText w:val="%1"/>
      <w:lvlJc w:val="center"/>
      <w:pPr>
        <w:ind w:left="0" w:firstLine="0"/>
      </w:pPr>
      <w:rPr>
        <w:rFonts w:hint="default"/>
        <w:u w:val="none"/>
      </w:rPr>
    </w:lvl>
    <w:lvl w:ilvl="1">
      <w:start w:val="1"/>
      <w:numFmt w:val="none"/>
      <w:pStyle w:val="Heading2"/>
      <w:suff w:val="nothing"/>
      <w:lvlText w:val="%2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none"/>
      <w:pStyle w:val="Heading3"/>
      <w:suff w:val="nothing"/>
      <w:lvlText w:val="%3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none"/>
      <w:pStyle w:val="Heading4"/>
      <w:suff w:val="nothing"/>
      <w:lvlText w:val="%4"/>
      <w:lvlJc w:val="left"/>
      <w:pPr>
        <w:ind w:left="0" w:firstLine="0"/>
      </w:pPr>
      <w:rPr>
        <w:rFonts w:hint="default"/>
        <w:u w:val="none"/>
      </w:rPr>
    </w:lvl>
    <w:lvl w:ilvl="4">
      <w:start w:val="1"/>
      <w:numFmt w:val="none"/>
      <w:pStyle w:val="Heading5"/>
      <w:suff w:val="nothing"/>
      <w:lvlText w:val="%5"/>
      <w:lvlJc w:val="left"/>
      <w:pPr>
        <w:ind w:left="0" w:firstLine="0"/>
      </w:pPr>
      <w:rPr>
        <w:rFonts w:hint="default"/>
        <w:u w:val="non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hint="default"/>
        <w:u w:val="none"/>
      </w:rPr>
    </w:lvl>
    <w:lvl w:ilvl="6">
      <w:start w:val="1"/>
      <w:numFmt w:val="none"/>
      <w:pStyle w:val="Heading7"/>
      <w:suff w:val="nothing"/>
      <w:lvlText w:val="%7"/>
      <w:lvlJc w:val="left"/>
      <w:pPr>
        <w:ind w:left="0" w:firstLine="0"/>
      </w:pPr>
      <w:rPr>
        <w:rFonts w:hint="default"/>
        <w:u w:val="none"/>
      </w:rPr>
    </w:lvl>
    <w:lvl w:ilvl="7">
      <w:start w:val="1"/>
      <w:numFmt w:val="none"/>
      <w:pStyle w:val="Heading8"/>
      <w:suff w:val="nothing"/>
      <w:lvlText w:val="%8"/>
      <w:lvlJc w:val="left"/>
      <w:pPr>
        <w:ind w:left="0" w:firstLine="0"/>
      </w:pPr>
      <w:rPr>
        <w:rFonts w:hint="default"/>
        <w:u w:val="none"/>
      </w:rPr>
    </w:lvl>
    <w:lvl w:ilvl="8">
      <w:start w:val="1"/>
      <w:numFmt w:val="none"/>
      <w:pStyle w:val="Heading9"/>
      <w:suff w:val="nothing"/>
      <w:lvlText w:val="%9"/>
      <w:lvlJc w:val="left"/>
      <w:pPr>
        <w:ind w:left="0" w:firstLine="0"/>
      </w:pPr>
      <w:rPr>
        <w:rFonts w:hint="default"/>
        <w:u w:val="none"/>
      </w:rPr>
    </w:lvl>
  </w:abstractNum>
  <w:abstractNum w:abstractNumId="13" w15:restartNumberingAfterBreak="0">
    <w:nsid w:val="5AC04A7F"/>
    <w:multiLevelType w:val="singleLevel"/>
    <w:tmpl w:val="599E5D68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B2A29AC"/>
    <w:multiLevelType w:val="hybridMultilevel"/>
    <w:tmpl w:val="041E300A"/>
    <w:lvl w:ilvl="0" w:tplc="AE2EC1CA">
      <w:start w:val="1"/>
      <w:numFmt w:val="decimal"/>
      <w:pStyle w:val="DW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FD60DF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DC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528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436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023B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C3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222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C4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2924126">
    <w:abstractNumId w:val="8"/>
  </w:num>
  <w:num w:numId="2" w16cid:durableId="332951123">
    <w:abstractNumId w:val="10"/>
  </w:num>
  <w:num w:numId="3" w16cid:durableId="2044404371">
    <w:abstractNumId w:val="14"/>
  </w:num>
  <w:num w:numId="4" w16cid:durableId="634138417">
    <w:abstractNumId w:val="12"/>
  </w:num>
  <w:num w:numId="5" w16cid:durableId="1039668567">
    <w:abstractNumId w:val="12"/>
  </w:num>
  <w:num w:numId="6" w16cid:durableId="1294140149">
    <w:abstractNumId w:val="12"/>
  </w:num>
  <w:num w:numId="7" w16cid:durableId="408580296">
    <w:abstractNumId w:val="12"/>
  </w:num>
  <w:num w:numId="8" w16cid:durableId="132992284">
    <w:abstractNumId w:val="12"/>
  </w:num>
  <w:num w:numId="9" w16cid:durableId="1117215911">
    <w:abstractNumId w:val="12"/>
  </w:num>
  <w:num w:numId="10" w16cid:durableId="1922837328">
    <w:abstractNumId w:val="12"/>
  </w:num>
  <w:num w:numId="11" w16cid:durableId="66267408">
    <w:abstractNumId w:val="12"/>
  </w:num>
  <w:num w:numId="12" w16cid:durableId="1667367875">
    <w:abstractNumId w:val="12"/>
  </w:num>
  <w:num w:numId="13" w16cid:durableId="268127883">
    <w:abstractNumId w:val="9"/>
  </w:num>
  <w:num w:numId="14" w16cid:durableId="309016847">
    <w:abstractNumId w:val="9"/>
  </w:num>
  <w:num w:numId="15" w16cid:durableId="1011176337">
    <w:abstractNumId w:val="11"/>
  </w:num>
  <w:num w:numId="16" w16cid:durableId="959604586">
    <w:abstractNumId w:val="7"/>
  </w:num>
  <w:num w:numId="17" w16cid:durableId="1951467181">
    <w:abstractNumId w:val="7"/>
  </w:num>
  <w:num w:numId="18" w16cid:durableId="1730034227">
    <w:abstractNumId w:val="6"/>
  </w:num>
  <w:num w:numId="19" w16cid:durableId="1731420336">
    <w:abstractNumId w:val="6"/>
  </w:num>
  <w:num w:numId="20" w16cid:durableId="270628100">
    <w:abstractNumId w:val="5"/>
  </w:num>
  <w:num w:numId="21" w16cid:durableId="1420325499">
    <w:abstractNumId w:val="5"/>
  </w:num>
  <w:num w:numId="22" w16cid:durableId="788935376">
    <w:abstractNumId w:val="4"/>
  </w:num>
  <w:num w:numId="23" w16cid:durableId="283971046">
    <w:abstractNumId w:val="4"/>
  </w:num>
  <w:num w:numId="24" w16cid:durableId="1060859544">
    <w:abstractNumId w:val="13"/>
  </w:num>
  <w:num w:numId="25" w16cid:durableId="1945530443">
    <w:abstractNumId w:val="3"/>
  </w:num>
  <w:num w:numId="26" w16cid:durableId="817496544">
    <w:abstractNumId w:val="2"/>
  </w:num>
  <w:num w:numId="27" w16cid:durableId="219676834">
    <w:abstractNumId w:val="2"/>
  </w:num>
  <w:num w:numId="28" w16cid:durableId="1079474235">
    <w:abstractNumId w:val="1"/>
  </w:num>
  <w:num w:numId="29" w16cid:durableId="174155070">
    <w:abstractNumId w:val="1"/>
  </w:num>
  <w:num w:numId="30" w16cid:durableId="343365858">
    <w:abstractNumId w:val="0"/>
  </w:num>
  <w:num w:numId="31" w16cid:durableId="107816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B7"/>
    <w:rsid w:val="001A3C6D"/>
    <w:rsid w:val="001D32D1"/>
    <w:rsid w:val="001E308E"/>
    <w:rsid w:val="0024788A"/>
    <w:rsid w:val="002B2A6C"/>
    <w:rsid w:val="003056D0"/>
    <w:rsid w:val="00343893"/>
    <w:rsid w:val="0037248D"/>
    <w:rsid w:val="00395B90"/>
    <w:rsid w:val="003D1247"/>
    <w:rsid w:val="00406B42"/>
    <w:rsid w:val="004F4460"/>
    <w:rsid w:val="0056033C"/>
    <w:rsid w:val="005D184A"/>
    <w:rsid w:val="006E1E08"/>
    <w:rsid w:val="006E72C2"/>
    <w:rsid w:val="008900E5"/>
    <w:rsid w:val="008A12B7"/>
    <w:rsid w:val="008B558F"/>
    <w:rsid w:val="00903384"/>
    <w:rsid w:val="00940484"/>
    <w:rsid w:val="009D7C4F"/>
    <w:rsid w:val="00A13377"/>
    <w:rsid w:val="00A65E74"/>
    <w:rsid w:val="00A84452"/>
    <w:rsid w:val="00AE3B20"/>
    <w:rsid w:val="00BB47C0"/>
    <w:rsid w:val="00C17D39"/>
    <w:rsid w:val="00C45302"/>
    <w:rsid w:val="00C6778C"/>
    <w:rsid w:val="00CE6758"/>
    <w:rsid w:val="00D236CC"/>
    <w:rsid w:val="00D82A8F"/>
    <w:rsid w:val="00E03429"/>
    <w:rsid w:val="00E60696"/>
    <w:rsid w:val="00EB13D0"/>
    <w:rsid w:val="00F04791"/>
    <w:rsid w:val="00FB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805B0"/>
  <w15:docId w15:val="{655E8262-DEFD-4AAE-83E6-247E542E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Heading"/>
    <w:next w:val="BodyText"/>
    <w:qFormat/>
    <w:pPr>
      <w:keepNext/>
      <w:keepLines/>
      <w:numPr>
        <w:numId w:val="4"/>
      </w:numPr>
      <w:jc w:val="center"/>
      <w:outlineLvl w:val="0"/>
    </w:pPr>
    <w:rPr>
      <w:b/>
    </w:rPr>
  </w:style>
  <w:style w:type="paragraph" w:styleId="Heading2">
    <w:name w:val="heading 2"/>
    <w:basedOn w:val="Heading"/>
    <w:next w:val="BodyText"/>
    <w:qFormat/>
    <w:pPr>
      <w:numPr>
        <w:ilvl w:val="1"/>
        <w:numId w:val="5"/>
      </w:numPr>
      <w:outlineLvl w:val="1"/>
    </w:pPr>
    <w:rPr>
      <w:b/>
    </w:rPr>
  </w:style>
  <w:style w:type="paragraph" w:styleId="Heading3">
    <w:name w:val="heading 3"/>
    <w:basedOn w:val="Heading"/>
    <w:next w:val="BodyText"/>
    <w:qFormat/>
    <w:pPr>
      <w:numPr>
        <w:ilvl w:val="2"/>
        <w:numId w:val="6"/>
      </w:numPr>
      <w:outlineLvl w:val="2"/>
    </w:pPr>
  </w:style>
  <w:style w:type="paragraph" w:styleId="Heading4">
    <w:name w:val="heading 4"/>
    <w:basedOn w:val="Heading"/>
    <w:next w:val="BodyText"/>
    <w:qFormat/>
    <w:pPr>
      <w:numPr>
        <w:ilvl w:val="3"/>
        <w:numId w:val="7"/>
      </w:numPr>
      <w:outlineLvl w:val="3"/>
    </w:pPr>
  </w:style>
  <w:style w:type="paragraph" w:styleId="Heading5">
    <w:name w:val="heading 5"/>
    <w:basedOn w:val="Heading"/>
    <w:next w:val="BodyText"/>
    <w:qFormat/>
    <w:pPr>
      <w:numPr>
        <w:ilvl w:val="4"/>
        <w:numId w:val="8"/>
      </w:numPr>
      <w:outlineLvl w:val="4"/>
    </w:pPr>
  </w:style>
  <w:style w:type="paragraph" w:styleId="Heading6">
    <w:name w:val="heading 6"/>
    <w:basedOn w:val="Heading"/>
    <w:next w:val="BodyText"/>
    <w:qFormat/>
    <w:pPr>
      <w:numPr>
        <w:ilvl w:val="5"/>
        <w:numId w:val="9"/>
      </w:numPr>
      <w:outlineLvl w:val="5"/>
    </w:pPr>
  </w:style>
  <w:style w:type="paragraph" w:styleId="Heading7">
    <w:name w:val="heading 7"/>
    <w:basedOn w:val="Heading"/>
    <w:next w:val="BodyText"/>
    <w:qFormat/>
    <w:pPr>
      <w:numPr>
        <w:ilvl w:val="6"/>
        <w:numId w:val="10"/>
      </w:numPr>
      <w:outlineLvl w:val="6"/>
    </w:pPr>
  </w:style>
  <w:style w:type="paragraph" w:styleId="Heading8">
    <w:name w:val="heading 8"/>
    <w:basedOn w:val="Heading"/>
    <w:next w:val="BodyText"/>
    <w:qFormat/>
    <w:pPr>
      <w:numPr>
        <w:ilvl w:val="7"/>
        <w:numId w:val="11"/>
      </w:numPr>
      <w:outlineLvl w:val="7"/>
    </w:pPr>
  </w:style>
  <w:style w:type="paragraph" w:styleId="Heading9">
    <w:name w:val="heading 9"/>
    <w:basedOn w:val="Heading"/>
    <w:next w:val="BodyText"/>
    <w:qFormat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pPr>
      <w:spacing w:after="240"/>
    </w:pPr>
  </w:style>
  <w:style w:type="paragraph" w:styleId="List">
    <w:name w:val="List"/>
    <w:basedOn w:val="Normal"/>
  </w:style>
  <w:style w:type="paragraph" w:customStyle="1" w:styleId="List1">
    <w:name w:val="List 1"/>
    <w:basedOn w:val="List"/>
    <w:pPr>
      <w:ind w:left="720" w:hanging="720"/>
    </w:pPr>
  </w:style>
  <w:style w:type="paragraph" w:styleId="List2">
    <w:name w:val="List 2"/>
    <w:basedOn w:val="List1"/>
    <w:pPr>
      <w:ind w:left="1440"/>
    </w:pPr>
  </w:style>
  <w:style w:type="paragraph" w:styleId="List3">
    <w:name w:val="List 3"/>
    <w:basedOn w:val="List2"/>
    <w:pPr>
      <w:ind w:left="2160"/>
    </w:pPr>
  </w:style>
  <w:style w:type="paragraph" w:styleId="List4">
    <w:name w:val="List 4"/>
    <w:basedOn w:val="List3"/>
    <w:pPr>
      <w:ind w:left="2880"/>
    </w:pPr>
  </w:style>
  <w:style w:type="paragraph" w:styleId="List5">
    <w:name w:val="List 5"/>
    <w:basedOn w:val="List4"/>
    <w:pPr>
      <w:ind w:left="3600"/>
    </w:pPr>
  </w:style>
  <w:style w:type="paragraph" w:styleId="ListContinue">
    <w:name w:val="List Continue"/>
    <w:basedOn w:val="Normal"/>
    <w:pPr>
      <w:spacing w:before="240"/>
    </w:pPr>
  </w:style>
  <w:style w:type="paragraph" w:styleId="ListNumber">
    <w:name w:val="List Number"/>
    <w:basedOn w:val="Normal"/>
  </w:style>
  <w:style w:type="paragraph" w:customStyle="1" w:styleId="Quote1">
    <w:name w:val="Quote1"/>
    <w:basedOn w:val="Normal"/>
    <w:next w:val="Normal"/>
    <w:pPr>
      <w:spacing w:after="240"/>
      <w:ind w:left="1440" w:right="1440"/>
    </w:pPr>
  </w:style>
  <w:style w:type="paragraph" w:customStyle="1" w:styleId="Table">
    <w:name w:val="Table"/>
    <w:basedOn w:val="Normal"/>
    <w:pPr>
      <w:spacing w:before="60" w:after="60"/>
    </w:pPr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</w:rPr>
  </w:style>
  <w:style w:type="paragraph" w:styleId="TOC8">
    <w:name w:val="toc 8"/>
    <w:basedOn w:val="Normal"/>
    <w:next w:val="Normal"/>
    <w:autoRedefine/>
    <w:semiHidden/>
    <w:pPr>
      <w:ind w:left="1440"/>
    </w:pPr>
  </w:style>
  <w:style w:type="paragraph" w:customStyle="1" w:styleId="Address">
    <w:name w:val="Address"/>
    <w:basedOn w:val="Normal"/>
    <w:next w:val="Normal"/>
  </w:style>
  <w:style w:type="paragraph" w:customStyle="1" w:styleId="BelowDate">
    <w:name w:val="BelowDate"/>
    <w:basedOn w:val="Normal"/>
    <w:pPr>
      <w:framePr w:hSpace="187" w:wrap="notBeside" w:vAnchor="page" w:hAnchor="text" w:xAlign="center" w:y="3241"/>
      <w:jc w:val="center"/>
    </w:pPr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BodyTextDblFirst5">
    <w:name w:val="Body Text Dbl First .5"/>
    <w:basedOn w:val="Normal"/>
    <w:pPr>
      <w:spacing w:line="480" w:lineRule="auto"/>
      <w:ind w:firstLine="720"/>
    </w:pPr>
  </w:style>
  <w:style w:type="paragraph" w:customStyle="1" w:styleId="BodyTextDblFirst1">
    <w:name w:val="Body Text Dbl First 1"/>
    <w:basedOn w:val="Normal"/>
    <w:pPr>
      <w:suppressAutoHyphens/>
      <w:spacing w:line="480" w:lineRule="auto"/>
      <w:ind w:firstLine="1440"/>
    </w:pPr>
  </w:style>
  <w:style w:type="paragraph" w:customStyle="1" w:styleId="BodyTextDbl">
    <w:name w:val="Body Text Dbl"/>
    <w:basedOn w:val="Normal"/>
    <w:pPr>
      <w:spacing w:line="480" w:lineRule="auto"/>
    </w:pPr>
  </w:style>
  <w:style w:type="paragraph" w:customStyle="1" w:styleId="BodyTextFirst5">
    <w:name w:val="Body Text First .5"/>
    <w:basedOn w:val="Normal"/>
    <w:pPr>
      <w:spacing w:after="240"/>
      <w:ind w:firstLine="720"/>
    </w:pPr>
  </w:style>
  <w:style w:type="paragraph" w:customStyle="1" w:styleId="BodyTextFirst1">
    <w:name w:val="Body Text First 1"/>
    <w:basedOn w:val="Normal"/>
    <w:pPr>
      <w:spacing w:after="240"/>
      <w:ind w:firstLine="1440"/>
    </w:pPr>
  </w:style>
  <w:style w:type="paragraph" w:customStyle="1" w:styleId="BodyTextFJDblFirst5">
    <w:name w:val="Body Text FJ Dbl First .5"/>
    <w:basedOn w:val="Normal"/>
    <w:pPr>
      <w:spacing w:line="480" w:lineRule="auto"/>
      <w:ind w:firstLine="720"/>
      <w:jc w:val="both"/>
    </w:pPr>
  </w:style>
  <w:style w:type="paragraph" w:customStyle="1" w:styleId="BodyTextFJDbl">
    <w:name w:val="Body Text FJ Dbl"/>
    <w:basedOn w:val="Normal"/>
    <w:pPr>
      <w:spacing w:line="480" w:lineRule="auto"/>
      <w:jc w:val="both"/>
    </w:pPr>
  </w:style>
  <w:style w:type="paragraph" w:customStyle="1" w:styleId="BodyTextFJFirst5">
    <w:name w:val="Body Text FJ First .5"/>
    <w:basedOn w:val="Normal"/>
    <w:pPr>
      <w:spacing w:after="240"/>
      <w:ind w:firstLine="720"/>
      <w:jc w:val="both"/>
    </w:pPr>
  </w:style>
  <w:style w:type="paragraph" w:customStyle="1" w:styleId="BodyTextFJFirst1">
    <w:name w:val="Body Text FJ First 1"/>
    <w:basedOn w:val="Normal"/>
    <w:pPr>
      <w:spacing w:after="240"/>
      <w:ind w:firstLine="1440"/>
    </w:pPr>
  </w:style>
  <w:style w:type="paragraph" w:customStyle="1" w:styleId="BodyTextFJ">
    <w:name w:val="Body Text FJ"/>
    <w:basedOn w:val="Normal"/>
    <w:pPr>
      <w:spacing w:after="240"/>
      <w:jc w:val="both"/>
    </w:pPr>
  </w:style>
  <w:style w:type="paragraph" w:styleId="BodyText">
    <w:name w:val="Body Text"/>
    <w:basedOn w:val="Normal"/>
    <w:pPr>
      <w:spacing w:after="240"/>
    </w:pPr>
  </w:style>
  <w:style w:type="paragraph" w:styleId="Caption">
    <w:name w:val="caption"/>
    <w:basedOn w:val="Normal"/>
    <w:next w:val="Normal"/>
    <w:qFormat/>
    <w:rPr>
      <w:b/>
    </w:rPr>
  </w:style>
  <w:style w:type="paragraph" w:customStyle="1" w:styleId="ccList">
    <w:name w:val="cc List"/>
    <w:basedOn w:val="Normal"/>
    <w:next w:val="Normal"/>
  </w:style>
  <w:style w:type="paragraph" w:styleId="Closing">
    <w:name w:val="Closing"/>
    <w:basedOn w:val="Normal"/>
    <w:pPr>
      <w:ind w:left="4320"/>
    </w:pPr>
  </w:style>
  <w:style w:type="character" w:styleId="CommentReference">
    <w:name w:val="annotation reference"/>
    <w:semiHidden/>
    <w:rPr>
      <w:rFonts w:ascii="Times New Roman" w:hAnsi="Times New Roman"/>
      <w:color w:val="FF0000"/>
      <w:sz w:val="16"/>
    </w:rPr>
  </w:style>
  <w:style w:type="paragraph" w:styleId="CommentText">
    <w:name w:val="annotation text"/>
    <w:basedOn w:val="Normal"/>
    <w:semiHidden/>
  </w:style>
  <w:style w:type="paragraph" w:customStyle="1" w:styleId="Company">
    <w:name w:val="Company"/>
    <w:basedOn w:val="Normal"/>
    <w:pPr>
      <w:spacing w:after="240"/>
    </w:pPr>
  </w:style>
  <w:style w:type="paragraph" w:styleId="Date">
    <w:name w:val="Date"/>
    <w:basedOn w:val="Normal"/>
    <w:next w:val="Normal"/>
  </w:style>
  <w:style w:type="character" w:customStyle="1" w:styleId="DocID">
    <w:name w:val="DocID"/>
    <w:rPr>
      <w:sz w:val="16"/>
    </w:rPr>
  </w:style>
  <w:style w:type="paragraph" w:styleId="DocumentMap">
    <w:name w:val="Document Map"/>
    <w:basedOn w:val="Normal"/>
    <w:semiHidden/>
    <w:rPr>
      <w:rFonts w:ascii="Tahoma" w:hAnsi="Tahoma"/>
    </w:rPr>
  </w:style>
  <w:style w:type="paragraph" w:customStyle="1" w:styleId="DWListBullet">
    <w:name w:val="DW List Bullet"/>
    <w:basedOn w:val="Normal"/>
    <w:pPr>
      <w:numPr>
        <w:numId w:val="2"/>
      </w:numPr>
      <w:spacing w:after="240"/>
    </w:pPr>
  </w:style>
  <w:style w:type="paragraph" w:customStyle="1" w:styleId="DWListNumber">
    <w:name w:val="DW List Number"/>
    <w:basedOn w:val="Normal"/>
    <w:pPr>
      <w:numPr>
        <w:numId w:val="3"/>
      </w:numPr>
      <w:spacing w:after="240"/>
    </w:pPr>
  </w:style>
  <w:style w:type="character" w:styleId="Emphasis">
    <w:name w:val="Emphasis"/>
    <w:qFormat/>
    <w:rPr>
      <w:i/>
    </w:rPr>
  </w:style>
  <w:style w:type="paragraph" w:customStyle="1" w:styleId="Enclosure">
    <w:name w:val="Enclosure"/>
    <w:basedOn w:val="Normal"/>
    <w:next w:val="Normal"/>
    <w:pPr>
      <w:spacing w:after="24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next w:val="Normal"/>
    <w:semiHidden/>
    <w:pPr>
      <w:spacing w:after="240"/>
    </w:pPr>
    <w:rPr>
      <w:sz w:val="20"/>
    </w:rPr>
  </w:style>
  <w:style w:type="paragraph" w:customStyle="1" w:styleId="EndnoteTextMore">
    <w:name w:val="Endnote TextMore"/>
    <w:basedOn w:val="EndnoteText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spacing w:after="240"/>
      <w:ind w:left="360" w:hanging="360"/>
    </w:pPr>
    <w:rPr>
      <w:sz w:val="20"/>
    </w:rPr>
  </w:style>
  <w:style w:type="paragraph" w:customStyle="1" w:styleId="FootnoteTextMore">
    <w:name w:val="Footnote TextMore"/>
    <w:basedOn w:val="FootnoteText"/>
    <w:pPr>
      <w:ind w:left="720"/>
    </w:pPr>
  </w:style>
  <w:style w:type="paragraph" w:customStyle="1" w:styleId="Hanging5">
    <w:name w:val="Hanging .5"/>
    <w:basedOn w:val="Normal"/>
    <w:pPr>
      <w:tabs>
        <w:tab w:val="left" w:pos="0"/>
        <w:tab w:val="left" w:pos="1440"/>
      </w:tabs>
      <w:spacing w:after="240"/>
      <w:ind w:left="1440" w:hanging="720"/>
    </w:pPr>
  </w:style>
  <w:style w:type="paragraph" w:customStyle="1" w:styleId="Hanging1">
    <w:name w:val="Hanging 1"/>
    <w:basedOn w:val="Normal"/>
    <w:pPr>
      <w:tabs>
        <w:tab w:val="left" w:pos="0"/>
        <w:tab w:val="left" w:pos="1440"/>
      </w:tabs>
      <w:spacing w:after="240"/>
      <w:ind w:left="2880" w:hanging="1440"/>
    </w:pPr>
  </w:style>
  <w:style w:type="paragraph" w:styleId="Header">
    <w:name w:val="header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semiHidden/>
  </w:style>
  <w:style w:type="paragraph" w:styleId="Index2">
    <w:name w:val="index 2"/>
    <w:basedOn w:val="Index1"/>
    <w:next w:val="Normal"/>
    <w:autoRedefine/>
    <w:semiHidden/>
    <w:pPr>
      <w:ind w:left="360"/>
    </w:pPr>
  </w:style>
  <w:style w:type="paragraph" w:styleId="Index3">
    <w:name w:val="index 3"/>
    <w:basedOn w:val="Index2"/>
    <w:next w:val="Normal"/>
    <w:autoRedefine/>
    <w:semiHidden/>
    <w:pPr>
      <w:ind w:left="720"/>
    </w:pPr>
  </w:style>
  <w:style w:type="paragraph" w:styleId="Index4">
    <w:name w:val="index 4"/>
    <w:basedOn w:val="Index3"/>
    <w:next w:val="Normal"/>
    <w:autoRedefine/>
    <w:semiHidden/>
    <w:pPr>
      <w:ind w:left="1080"/>
    </w:pPr>
  </w:style>
  <w:style w:type="paragraph" w:styleId="Index5">
    <w:name w:val="index 5"/>
    <w:basedOn w:val="Index4"/>
    <w:next w:val="Normal"/>
    <w:autoRedefine/>
    <w:semiHidden/>
    <w:pPr>
      <w:ind w:left="1440"/>
    </w:pPr>
  </w:style>
  <w:style w:type="paragraph" w:styleId="Index6">
    <w:name w:val="index 6"/>
    <w:basedOn w:val="Index5"/>
    <w:next w:val="Normal"/>
    <w:autoRedefine/>
    <w:semiHidden/>
    <w:pPr>
      <w:ind w:left="1800"/>
    </w:pPr>
  </w:style>
  <w:style w:type="paragraph" w:styleId="Index7">
    <w:name w:val="index 7"/>
    <w:basedOn w:val="Index6"/>
    <w:next w:val="Normal"/>
    <w:autoRedefine/>
    <w:semiHidden/>
    <w:pPr>
      <w:ind w:left="2160"/>
    </w:pPr>
  </w:style>
  <w:style w:type="paragraph" w:styleId="Index8">
    <w:name w:val="index 8"/>
    <w:basedOn w:val="Index7"/>
    <w:next w:val="Normal"/>
    <w:autoRedefine/>
    <w:semiHidden/>
    <w:pPr>
      <w:ind w:left="2520"/>
    </w:pPr>
  </w:style>
  <w:style w:type="paragraph" w:styleId="Index9">
    <w:name w:val="index 9"/>
    <w:basedOn w:val="Index8"/>
    <w:next w:val="Normal"/>
    <w:autoRedefine/>
    <w:semiHidden/>
    <w:pPr>
      <w:ind w:left="2880"/>
    </w:pPr>
  </w:style>
  <w:style w:type="paragraph" w:styleId="IndexHeading">
    <w:name w:val="index heading"/>
    <w:basedOn w:val="Normal"/>
    <w:next w:val="Index1"/>
    <w:semiHidden/>
  </w:style>
  <w:style w:type="paragraph" w:customStyle="1" w:styleId="Initials">
    <w:name w:val="Initials"/>
    <w:basedOn w:val="Normal"/>
    <w:next w:val="Normal"/>
    <w:pPr>
      <w:spacing w:after="240"/>
    </w:pPr>
  </w:style>
  <w:style w:type="character" w:styleId="LineNumber">
    <w:name w:val="line number"/>
    <w:basedOn w:val="DefaultParagraphFont"/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customStyle="1" w:styleId="ListBullet1">
    <w:name w:val="List Bullet 1"/>
    <w:basedOn w:val="Normal"/>
    <w:autoRedefine/>
    <w:pPr>
      <w:numPr>
        <w:numId w:val="15"/>
      </w:numPr>
      <w:tabs>
        <w:tab w:val="clear" w:pos="360"/>
      </w:tabs>
      <w:ind w:left="720" w:hanging="720"/>
    </w:pPr>
  </w:style>
  <w:style w:type="paragraph" w:styleId="ListBullet2">
    <w:name w:val="List Bullet 2"/>
    <w:basedOn w:val="Normal"/>
    <w:autoRedefine/>
    <w:pPr>
      <w:numPr>
        <w:numId w:val="17"/>
      </w:numPr>
      <w:tabs>
        <w:tab w:val="clear" w:pos="720"/>
      </w:tabs>
      <w:ind w:left="1440" w:hanging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1080"/>
      </w:tabs>
      <w:ind w:left="2160" w:hanging="720"/>
    </w:pPr>
  </w:style>
  <w:style w:type="paragraph" w:styleId="ListBullet4">
    <w:name w:val="List Bullet 4"/>
    <w:basedOn w:val="Normal"/>
    <w:autoRedefine/>
    <w:pPr>
      <w:numPr>
        <w:numId w:val="21"/>
      </w:numPr>
      <w:tabs>
        <w:tab w:val="clear" w:pos="1440"/>
      </w:tabs>
      <w:ind w:left="2880" w:hanging="720"/>
    </w:pPr>
  </w:style>
  <w:style w:type="paragraph" w:styleId="ListBullet5">
    <w:name w:val="List Bullet 5"/>
    <w:basedOn w:val="Normal"/>
    <w:autoRedefine/>
    <w:pPr>
      <w:numPr>
        <w:numId w:val="23"/>
      </w:numPr>
      <w:tabs>
        <w:tab w:val="clear" w:pos="1800"/>
      </w:tabs>
      <w:ind w:left="3600" w:hanging="720"/>
    </w:pPr>
  </w:style>
  <w:style w:type="paragraph" w:styleId="ListContinue2">
    <w:name w:val="List Continue 2"/>
    <w:basedOn w:val="ListContinue"/>
    <w:pPr>
      <w:ind w:left="72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2160"/>
    </w:pPr>
  </w:style>
  <w:style w:type="paragraph" w:styleId="ListContinue5">
    <w:name w:val="List Continue 5"/>
    <w:basedOn w:val="ListContinue"/>
    <w:pPr>
      <w:ind w:left="2880"/>
    </w:pPr>
  </w:style>
  <w:style w:type="paragraph" w:customStyle="1" w:styleId="ListNumber1">
    <w:name w:val="List Number 1"/>
    <w:basedOn w:val="ListNumber"/>
    <w:pPr>
      <w:numPr>
        <w:numId w:val="24"/>
      </w:numPr>
      <w:tabs>
        <w:tab w:val="clear" w:pos="360"/>
      </w:tabs>
      <w:ind w:left="720" w:hanging="720"/>
    </w:pPr>
  </w:style>
  <w:style w:type="paragraph" w:styleId="ListNumber2">
    <w:name w:val="List Number 2"/>
    <w:basedOn w:val="ListNumber"/>
    <w:pPr>
      <w:tabs>
        <w:tab w:val="num" w:pos="1800"/>
      </w:tabs>
      <w:ind w:left="1440" w:hanging="720"/>
    </w:pPr>
  </w:style>
  <w:style w:type="paragraph" w:styleId="ListNumber3">
    <w:name w:val="List Number 3"/>
    <w:basedOn w:val="ListNumber"/>
    <w:pPr>
      <w:numPr>
        <w:numId w:val="27"/>
      </w:numPr>
      <w:tabs>
        <w:tab w:val="clear" w:pos="1080"/>
      </w:tabs>
      <w:ind w:left="2160" w:hanging="720"/>
    </w:pPr>
  </w:style>
  <w:style w:type="paragraph" w:styleId="ListNumber4">
    <w:name w:val="List Number 4"/>
    <w:basedOn w:val="ListNumber"/>
    <w:pPr>
      <w:numPr>
        <w:numId w:val="29"/>
      </w:numPr>
      <w:tabs>
        <w:tab w:val="clear" w:pos="1440"/>
      </w:tabs>
      <w:ind w:left="2880" w:hanging="720"/>
    </w:pPr>
  </w:style>
  <w:style w:type="paragraph" w:styleId="ListNumber5">
    <w:name w:val="List Number 5"/>
    <w:basedOn w:val="ListNumber"/>
    <w:pPr>
      <w:numPr>
        <w:numId w:val="31"/>
      </w:numPr>
      <w:tabs>
        <w:tab w:val="clear" w:pos="1800"/>
      </w:tabs>
      <w:ind w:left="3600" w:hanging="7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spacing w:after="240"/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rPr>
      <w:rFonts w:ascii="Times New Roman" w:hAnsi="Times New Roman"/>
      <w:color w:val="auto"/>
      <w:sz w:val="24"/>
    </w:rPr>
  </w:style>
  <w:style w:type="character" w:customStyle="1" w:styleId="ParaNum">
    <w:name w:val="ParaNum"/>
    <w:basedOn w:val="DefaultParagraphFont"/>
  </w:style>
  <w:style w:type="paragraph" w:customStyle="1" w:styleId="Plain">
    <w:name w:val="Plain"/>
    <w:pPr>
      <w:spacing w:line="240" w:lineRule="exact"/>
    </w:pPr>
    <w:rPr>
      <w:sz w:val="24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Privacy">
    <w:name w:val="Privacy"/>
    <w:basedOn w:val="Normal"/>
    <w:next w:val="Normal"/>
    <w:pPr>
      <w:spacing w:before="240" w:after="240"/>
      <w:jc w:val="center"/>
    </w:pPr>
    <w:rPr>
      <w:b/>
    </w:rPr>
  </w:style>
  <w:style w:type="paragraph" w:customStyle="1" w:styleId="QuoteDoubleSpace">
    <w:name w:val="Quote DoubleSpace"/>
    <w:basedOn w:val="Quote1"/>
    <w:next w:val="Normal"/>
    <w:pPr>
      <w:spacing w:line="480" w:lineRule="auto"/>
    </w:pPr>
  </w:style>
  <w:style w:type="paragraph" w:customStyle="1" w:styleId="ReLine">
    <w:name w:val="Re Line"/>
    <w:basedOn w:val="Normal"/>
    <w:next w:val="Normal"/>
    <w:pPr>
      <w:spacing w:before="240" w:after="240"/>
      <w:ind w:left="2880" w:hanging="1440"/>
    </w:pPr>
  </w:style>
  <w:style w:type="paragraph" w:customStyle="1" w:styleId="RecipientTitle">
    <w:name w:val="RecipientTitle"/>
    <w:basedOn w:val="Normal"/>
  </w:style>
  <w:style w:type="paragraph" w:customStyle="1" w:styleId="Recital">
    <w:name w:val="Recital"/>
    <w:basedOn w:val="Normal"/>
    <w:next w:val="Normal"/>
    <w:pPr>
      <w:spacing w:before="480" w:after="240"/>
      <w:jc w:val="center"/>
    </w:pPr>
    <w:rPr>
      <w:caps/>
      <w:u w:val="word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pPr>
      <w:spacing w:after="240"/>
      <w:jc w:val="center"/>
      <w:outlineLvl w:val="1"/>
    </w:pPr>
  </w:style>
  <w:style w:type="paragraph" w:customStyle="1" w:styleId="SubtitleLeftDbl">
    <w:name w:val="Subtitle Left Dbl"/>
    <w:basedOn w:val="Normal"/>
    <w:pPr>
      <w:spacing w:line="480" w:lineRule="auto"/>
    </w:pPr>
    <w:rPr>
      <w:b/>
    </w:rPr>
  </w:style>
  <w:style w:type="paragraph" w:customStyle="1" w:styleId="SubtitleLeft">
    <w:name w:val="Subtitle Left"/>
    <w:basedOn w:val="Normal"/>
    <w:pPr>
      <w:spacing w:after="240"/>
    </w:pPr>
    <w:rPr>
      <w:b/>
    </w:rPr>
  </w:style>
  <w:style w:type="paragraph" w:customStyle="1" w:styleId="TableHeadings">
    <w:name w:val="Table Headings"/>
    <w:basedOn w:val="Table"/>
    <w:rPr>
      <w:b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customStyle="1" w:styleId="TableSubtotal">
    <w:name w:val="Table Subtotal"/>
    <w:basedOn w:val="Table"/>
    <w:pPr>
      <w:pBdr>
        <w:top w:val="single" w:sz="4" w:space="1" w:color="auto"/>
        <w:bottom w:val="single" w:sz="4" w:space="1" w:color="auto"/>
      </w:pBdr>
    </w:pPr>
  </w:style>
  <w:style w:type="paragraph" w:customStyle="1" w:styleId="TableText">
    <w:name w:val="Table Text"/>
    <w:basedOn w:val="Table"/>
    <w:pPr>
      <w:spacing w:before="40" w:after="40"/>
    </w:pPr>
  </w:style>
  <w:style w:type="paragraph" w:customStyle="1" w:styleId="TableTotal">
    <w:name w:val="Table Total"/>
    <w:basedOn w:val="Table"/>
    <w:pPr>
      <w:pBdr>
        <w:bottom w:val="double" w:sz="4" w:space="1" w:color="auto"/>
      </w:pBdr>
    </w:pPr>
    <w:rPr>
      <w:b/>
    </w:rPr>
  </w:style>
  <w:style w:type="paragraph" w:customStyle="1" w:styleId="CharCharCharChar">
    <w:name w:val="Char Char Char Char"/>
    <w:basedOn w:val="Normal"/>
    <w:pPr>
      <w:spacing w:after="160" w:line="240" w:lineRule="exact"/>
    </w:pPr>
    <w:rPr>
      <w:rFonts w:ascii="Verdana" w:hAnsi="Verdana"/>
      <w:sz w:val="20"/>
    </w:rPr>
  </w:style>
  <w:style w:type="paragraph" w:customStyle="1" w:styleId="TitleAppendix">
    <w:name w:val="Title Appendix"/>
    <w:basedOn w:val="Title"/>
    <w:pPr>
      <w:spacing w:after="360"/>
    </w:pPr>
  </w:style>
  <w:style w:type="paragraph" w:customStyle="1" w:styleId="TitleCover">
    <w:name w:val="Title Cover"/>
    <w:basedOn w:val="Normal"/>
    <w:rPr>
      <w:sz w:val="28"/>
    </w:rPr>
  </w:style>
  <w:style w:type="paragraph" w:customStyle="1" w:styleId="TitleDate">
    <w:name w:val="Title Date"/>
    <w:basedOn w:val="TitleCover"/>
    <w:pPr>
      <w:spacing w:before="240"/>
    </w:pPr>
  </w:style>
  <w:style w:type="paragraph" w:customStyle="1" w:styleId="TitleDocument">
    <w:name w:val="Title Document"/>
    <w:basedOn w:val="Normal"/>
    <w:next w:val="BodyText"/>
    <w:rPr>
      <w:caps/>
      <w:sz w:val="28"/>
    </w:rPr>
  </w:style>
  <w:style w:type="paragraph" w:customStyle="1" w:styleId="TitleExhibit">
    <w:name w:val="Title Exhibit"/>
    <w:basedOn w:val="Title"/>
    <w:pPr>
      <w:spacing w:before="480" w:after="360"/>
      <w:jc w:val="right"/>
    </w:pPr>
    <w:rPr>
      <w:caps/>
    </w:rPr>
  </w:style>
  <w:style w:type="paragraph" w:customStyle="1" w:styleId="TitleIndex">
    <w:name w:val="Title Index"/>
    <w:basedOn w:val="Title"/>
    <w:pPr>
      <w:spacing w:after="360"/>
    </w:pPr>
  </w:style>
  <w:style w:type="paragraph" w:customStyle="1" w:styleId="TitleSchedule">
    <w:name w:val="Title Schedule"/>
    <w:basedOn w:val="Title"/>
    <w:pPr>
      <w:spacing w:before="360" w:after="360"/>
      <w:jc w:val="right"/>
    </w:pPr>
    <w:rPr>
      <w:caps/>
    </w:rPr>
  </w:style>
  <w:style w:type="paragraph" w:customStyle="1" w:styleId="TitleTOC">
    <w:name w:val="Title TOC"/>
    <w:basedOn w:val="Normal"/>
  </w:style>
  <w:style w:type="paragraph" w:customStyle="1" w:styleId="TitleTOE">
    <w:name w:val="Title TOE"/>
    <w:basedOn w:val="Normal"/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autoRedefine/>
    <w:semiHidden/>
    <w:pPr>
      <w:spacing w:before="240" w:after="240"/>
    </w:pPr>
    <w:rPr>
      <w:caps/>
    </w:rPr>
  </w:style>
  <w:style w:type="paragraph" w:styleId="TOC2">
    <w:name w:val="toc 2"/>
    <w:basedOn w:val="Normal"/>
    <w:autoRedefine/>
    <w:semiHidden/>
    <w:pPr>
      <w:ind w:left="720"/>
    </w:pPr>
  </w:style>
  <w:style w:type="paragraph" w:styleId="TOC3">
    <w:name w:val="toc 3"/>
    <w:basedOn w:val="Normal"/>
    <w:autoRedefine/>
    <w:semiHidden/>
    <w:pPr>
      <w:ind w:left="1440"/>
    </w:pPr>
  </w:style>
  <w:style w:type="paragraph" w:styleId="TOC4">
    <w:name w:val="toc 4"/>
    <w:basedOn w:val="Normal"/>
    <w:next w:val="Normal"/>
    <w:autoRedefine/>
    <w:semiHidden/>
    <w:pPr>
      <w:ind w:left="1440"/>
    </w:pPr>
  </w:style>
  <w:style w:type="paragraph" w:styleId="TOC5">
    <w:name w:val="toc 5"/>
    <w:basedOn w:val="Normal"/>
    <w:next w:val="Normal"/>
    <w:autoRedefine/>
    <w:semiHidden/>
    <w:pPr>
      <w:ind w:left="1440"/>
    </w:pPr>
  </w:style>
  <w:style w:type="paragraph" w:styleId="TOC6">
    <w:name w:val="toc 6"/>
    <w:basedOn w:val="Normal"/>
    <w:next w:val="Normal"/>
    <w:autoRedefine/>
    <w:semiHidden/>
    <w:pPr>
      <w:ind w:left="144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9">
    <w:name w:val="toc 9"/>
    <w:basedOn w:val="TOC8"/>
    <w:next w:val="Normal"/>
    <w:autoRedefine/>
    <w:semiHidden/>
  </w:style>
  <w:style w:type="paragraph" w:customStyle="1" w:styleId="TOCTitle">
    <w:name w:val="TOC Title"/>
    <w:basedOn w:val="Normal"/>
    <w:next w:val="TOC1"/>
    <w:pPr>
      <w:jc w:val="center"/>
    </w:pPr>
    <w:rPr>
      <w:b/>
      <w:caps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LTemplates\TLBlank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TLBlank Portrait.dot</Template>
  <TotalTime>1</TotalTime>
  <Pages>2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Treasurer</dc:creator>
  <cp:lastModifiedBy>Lara Brisco</cp:lastModifiedBy>
  <cp:revision>2</cp:revision>
  <cp:lastPrinted>1900-01-01T07:00:00Z</cp:lastPrinted>
  <dcterms:created xsi:type="dcterms:W3CDTF">2023-02-08T22:26:00Z</dcterms:created>
  <dcterms:modified xsi:type="dcterms:W3CDTF">2023-02-08T22:26:00Z</dcterms:modified>
</cp:coreProperties>
</file>